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jc w:val="center"/>
        <w:rPr>
          <w:sz w:val="56"/>
          <w:szCs w:val="56"/>
        </w:rPr>
      </w:pPr>
      <w:r w:rsidDel="00000000" w:rsidR="00000000" w:rsidRPr="00000000">
        <w:rPr>
          <w:sz w:val="56"/>
          <w:szCs w:val="56"/>
          <w:rtl w:val="0"/>
        </w:rPr>
        <w:t xml:space="preserve">Σύνοψη</w:t>
      </w:r>
      <w:r w:rsidDel="00000000" w:rsidR="00000000" w:rsidRPr="00000000">
        <w:rPr>
          <w:rtl w:val="0"/>
        </w:rPr>
      </w:r>
    </w:p>
    <w:p w:rsidR="00000000" w:rsidDel="00000000" w:rsidP="00000000" w:rsidRDefault="00000000" w:rsidRPr="00000000">
      <w:pPr>
        <w:contextualSpacing w:val="0"/>
        <w:jc w:val="center"/>
        <w:rPr>
          <w:sz w:val="32"/>
          <w:szCs w:val="32"/>
        </w:rPr>
      </w:pPr>
      <w:r w:rsidDel="00000000" w:rsidR="00000000" w:rsidRPr="00000000">
        <w:rPr>
          <w:sz w:val="32"/>
          <w:szCs w:val="32"/>
          <w:rtl w:val="0"/>
        </w:rPr>
        <w:t xml:space="preserve">της Αναφοράς O1</w:t>
      </w:r>
    </w:p>
    <w:p w:rsidR="00000000" w:rsidDel="00000000" w:rsidP="00000000" w:rsidRDefault="00000000" w:rsidRPr="00000000">
      <w:pPr>
        <w:contextualSpacing w:val="0"/>
        <w:jc w:val="center"/>
        <w:rPr>
          <w:sz w:val="32"/>
          <w:szCs w:val="32"/>
        </w:rPr>
      </w:pPr>
      <w:r w:rsidDel="00000000" w:rsidR="00000000" w:rsidRPr="00000000">
        <w:rPr>
          <w:sz w:val="32"/>
          <w:szCs w:val="32"/>
          <w:rtl w:val="0"/>
        </w:rPr>
        <w:t xml:space="preserve">“Επιτομή Καλών Πρακτικών στον τομέα της εφαρμογής του EQAVET για την Επαγγελματική Εκπαίδευση και Κατάρτιση σπουδαστών με ΔΕΠΥ”</w:t>
      </w:r>
    </w:p>
    <w:p w:rsidR="00000000" w:rsidDel="00000000" w:rsidP="00000000" w:rsidRDefault="00000000" w:rsidRPr="00000000">
      <w:pPr>
        <w:pStyle w:val="Title"/>
        <w:spacing w:after="0" w:lineRule="auto"/>
        <w:contextualSpacing w:val="0"/>
        <w:jc w:val="center"/>
        <w:rPr>
          <w:b w:val="1"/>
          <w:sz w:val="32"/>
          <w:szCs w:val="32"/>
        </w:rPr>
      </w:pPr>
      <w:r w:rsidDel="00000000" w:rsidR="00000000" w:rsidRPr="00000000">
        <w:rPr>
          <w:b w:val="1"/>
          <w:sz w:val="32"/>
          <w:szCs w:val="32"/>
          <w:rtl w:val="0"/>
        </w:rPr>
        <w:t xml:space="preserve">Επαγγελματικη Εκπαιδευση Μαθητων με ΔΕΠΥ</w:t>
      </w:r>
    </w:p>
    <w:p w:rsidR="00000000" w:rsidDel="00000000" w:rsidP="00000000" w:rsidRDefault="00000000" w:rsidRPr="00000000">
      <w:pPr>
        <w:contextualSpacing w:val="0"/>
        <w:jc w:val="center"/>
        <w:rPr>
          <w:sz w:val="32"/>
          <w:szCs w:val="32"/>
        </w:rPr>
      </w:pPr>
      <w:r w:rsidDel="00000000" w:rsidR="00000000" w:rsidRPr="00000000">
        <w:rPr>
          <w:b w:val="1"/>
          <w:smallCaps w:val="1"/>
          <w:sz w:val="32"/>
          <w:szCs w:val="32"/>
          <w:rtl w:val="0"/>
        </w:rPr>
        <w:t xml:space="preserve">Επιτομη Καλων Πρακτικων</w:t>
      </w:r>
      <w:r w:rsidDel="00000000" w:rsidR="00000000" w:rsidRPr="00000000">
        <w:rPr>
          <w:rtl w:val="0"/>
        </w:rPr>
      </w:r>
    </w:p>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Η παρούσα αναφορά αναπτύχθηκε στο πλαίσιο του έργου Q4ADHD - Quality Assurance in Vocational Education and Training for Learners with Attention Deficit Hyperactivity Disorder (Διασφάλιση Ποιότητας στην Επαγγελματική Εκπαίδευση και Κατάρτιση Μαθητών με ΔΕΠΥ</w:t>
      </w:r>
      <w:r w:rsidDel="00000000" w:rsidR="00000000" w:rsidRPr="00000000">
        <w:rPr>
          <w:sz w:val="24"/>
          <w:szCs w:val="24"/>
          <w:vertAlign w:val="superscript"/>
        </w:rPr>
        <w:footnoteReference w:customMarkFollows="0" w:id="0"/>
      </w:r>
      <w:r w:rsidDel="00000000" w:rsidR="00000000" w:rsidRPr="00000000">
        <w:rPr>
          <w:sz w:val="24"/>
          <w:szCs w:val="24"/>
          <w:rtl w:val="0"/>
        </w:rPr>
        <w:t xml:space="preserve">), το οποίο έχει χρηματοδοτηθεί από το Ευρωπαϊκό πρόγραμμα Erasmus+.</w:t>
      </w:r>
    </w:p>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Αυτή είναι η πρώτη επιτομή καλών πρακτικών στον τομέα της εφαρμογής του EQAVET</w:t>
      </w:r>
      <w:r w:rsidDel="00000000" w:rsidR="00000000" w:rsidRPr="00000000">
        <w:rPr>
          <w:sz w:val="24"/>
          <w:szCs w:val="24"/>
          <w:vertAlign w:val="superscript"/>
        </w:rPr>
        <w:footnoteReference w:customMarkFollows="0" w:id="1"/>
      </w:r>
      <w:r w:rsidDel="00000000" w:rsidR="00000000" w:rsidRPr="00000000">
        <w:rPr>
          <w:sz w:val="24"/>
          <w:szCs w:val="24"/>
          <w:rtl w:val="0"/>
        </w:rPr>
        <w:t xml:space="preserve"> για την Επαγγελματική Εκπαίδευση και Κατάρτιση (ΕΕΚ) μαθητών με ΔΕΠΥ. </w:t>
      </w:r>
    </w:p>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Στόχος της είναι να επισημάνει παραδείγματα καλών πρακτικών που αφορούν σε τεχνικές, μεθοδολογίες, προσεγγίσεις και αποτελέσματα που επιτεύχθηκαν. Η ερευνητική εργασία σχεδιάστηκε έτσι ώστε να προβεί σε μία αρχική διερεύνηση των καλών πρακτικών στην εκπαίδευση, και ειδικότερα στην ΕΕΚ η οποία απευθύνεται σε μαθητές με ΔΕΠΥ, στις συμμετέχουσες στο έργο χώρες, χρησιμοποιώντας ως πηγές πληροφοριών Μελέτες Περιπτώσεων καθώς και Κατευθυντήριες Αρχές / Οδηγίες (Guidelines). Η δεύτερη φάση περιλάμβανε επιλογή των καλών πρακτικών (εκ των αρχικών ερευνητικών ευρημάτων), και εντοπισμό των κενών και αδυναμιών στη σύγχρονη έρευνα.</w:t>
      </w:r>
    </w:p>
    <w:p w:rsidR="00000000" w:rsidDel="00000000" w:rsidP="00000000" w:rsidRDefault="00000000" w:rsidRPr="00000000">
      <w:pPr>
        <w:contextualSpacing w:val="0"/>
        <w:jc w:val="both"/>
        <w:rPr>
          <w:sz w:val="24"/>
          <w:szCs w:val="24"/>
        </w:rPr>
      </w:pPr>
      <w:bookmarkStart w:colFirst="0" w:colLast="0" w:name="_gjdgxs" w:id="0"/>
      <w:bookmarkEnd w:id="0"/>
      <w:r w:rsidDel="00000000" w:rsidR="00000000" w:rsidRPr="00000000">
        <w:rPr>
          <w:b w:val="1"/>
          <w:sz w:val="24"/>
          <w:szCs w:val="24"/>
          <w:rtl w:val="0"/>
        </w:rPr>
        <w:t xml:space="preserve">Κοινό-στόχος </w:t>
      </w:r>
      <w:r w:rsidDel="00000000" w:rsidR="00000000" w:rsidRPr="00000000">
        <w:rPr>
          <w:sz w:val="24"/>
          <w:szCs w:val="24"/>
          <w:rtl w:val="0"/>
        </w:rPr>
        <w:t xml:space="preserve">του εγγράφου αυτού είναι ομάδες ενδιαφερομένων που ασχολούνται με την παροχή ΕΕΚ σε ευρωπαϊκό επίπεδο: πάροχοι ΕΕΚ, ενώσεις, γονείς μαθητών με ΔΕΠΥ,  νομοθέτες και επιχειρήσεις. </w:t>
      </w:r>
    </w:p>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Η Επιτομή είναι δομημένη σε τέσσερα κύρια κεφάλαια:</w:t>
      </w:r>
    </w:p>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Κεφάλαιο 1, “Εισαγωγή και Μεθοδολογία”: Περιγράφει τους σκοπούς του έργου Q4ADHD, τους συνεργάτες και τις ομάδες-στόχους. </w:t>
      </w:r>
      <w:r w:rsidDel="00000000" w:rsidR="00000000" w:rsidRPr="00000000">
        <w:rPr>
          <w:sz w:val="24"/>
          <w:szCs w:val="24"/>
          <w:rtl w:val="0"/>
        </w:rPr>
        <w:t xml:space="preserve">Η μεθοδολογία αναπτύχθηκε από όλους τους εταίρους του έργου. Περιλαμβάνει συνεντεύξεις με βασικούς ενδιαφερόμενους και διεξοδική δευτερογενή έρευνα (έρευνα γραφείου) για ένα ευρύ φάσμα πηγών πληροφόρησης (π.χ. ηλεκτρονικές βάσεις δεδομένων, επίσημα στατιστικά στοιχεία, εθνικές αναφορές, δημοσιευμένα έγγραφα, ερευνητικά άρθρα κ.λπ.). Επιπλέον, περιλαμβάνει μια ανάλυση του νομικού πλαισίου, των επίσημων κατευθυντήριων γραμμών και των επιστημονικών αναφορών των συμμετεχουσών χωρών.</w:t>
      </w:r>
      <w:r w:rsidDel="00000000" w:rsidR="00000000" w:rsidRPr="00000000">
        <w:rPr>
          <w:rtl w:val="0"/>
        </w:rPr>
      </w:r>
    </w:p>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Κεφάλαιο 2, “Περιβάλλον και </w:t>
      </w:r>
      <w:r w:rsidDel="00000000" w:rsidR="00000000" w:rsidRPr="00000000">
        <w:rPr>
          <w:sz w:val="24"/>
          <w:szCs w:val="24"/>
          <w:rtl w:val="0"/>
        </w:rPr>
        <w:t xml:space="preserve">Πλαίσιο αναφοράς</w:t>
      </w:r>
      <w:r w:rsidDel="00000000" w:rsidR="00000000" w:rsidRPr="00000000">
        <w:rPr>
          <w:sz w:val="24"/>
          <w:szCs w:val="24"/>
          <w:rtl w:val="0"/>
        </w:rPr>
        <w:t xml:space="preserve">”:</w:t>
      </w:r>
      <w:r w:rsidDel="00000000" w:rsidR="00000000" w:rsidRPr="00000000">
        <w:rPr>
          <w:sz w:val="24"/>
          <w:szCs w:val="24"/>
          <w:rtl w:val="0"/>
        </w:rPr>
        <w:t xml:space="preserve"> Aποτελείται από τέσσερις ενότητες. Στην πρώτη ενότητα ορίζονται οι γενικές έννοιες γύρω από την κλινική διάγνωση ενηλίκων με ΔΕΠΥ. Η δεύτερη και η τρίτη ενότητα προσφέρει στον αναγνώστη μία εικόνα των στρατηγικών στην Ευρώπη και τον κόσμο που εφαρμόζονται από διεθνείς και Ευρωπαϊκούς οργανισμούς με στόχο την ένταξη στην εκπαίδευση μαθητών με ΔΕΠΥ και στην τέταρτη ενότητα παρουσιάζονται περιληπτικά τα νομικά πλαίσια και οι οδηγίες στο εν λόγω πεδίο σε Βουλγαρία, Ιταλία, Ισπανία, Σουηδία και Ελλάδα. Στο τέλος του κεφαλαίου δίνεται λίστα παραπομπών με τις πηγές από τις οποίες αντλήθηκαν οι πληροφορίες.</w:t>
      </w:r>
    </w:p>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Κεφάλαιο 3, “Επιλογή Καλών Πρακτικών”: </w:t>
      </w:r>
      <w:r w:rsidDel="00000000" w:rsidR="00000000" w:rsidRPr="00000000">
        <w:rPr>
          <w:sz w:val="24"/>
          <w:szCs w:val="24"/>
          <w:rtl w:val="0"/>
        </w:rPr>
        <w:t xml:space="preserve">Διαρθρώνεται σε δυο βασικές ενότητες: την παρουσίαση των </w:t>
      </w:r>
      <w:r w:rsidDel="00000000" w:rsidR="00000000" w:rsidRPr="00000000">
        <w:rPr>
          <w:sz w:val="24"/>
          <w:szCs w:val="24"/>
          <w:rtl w:val="0"/>
        </w:rPr>
        <w:t xml:space="preserve">Κατευθυντήριων Αρχών - Οδηγιών για την ένταξη ενηλίκων μαθητών με ΔΕΠΥ και </w:t>
      </w:r>
      <w:r w:rsidDel="00000000" w:rsidR="00000000" w:rsidRPr="00000000">
        <w:rPr>
          <w:sz w:val="24"/>
          <w:szCs w:val="24"/>
          <w:rtl w:val="0"/>
        </w:rPr>
        <w:t xml:space="preserve">την παρουσίαση μιας επιλογής 15 μελετών περίπτωσης με στόχο να δοθούν συγκεκριμένα παραδείγματα σχετικά με το πως εφαρμόζονται οι γενικές εθνικές οδηγίες στην πράξη. Στο παρόν κεφάλαιο περιγράφεται η παρούσα τεχνογνωσία σε Βουλγαρία, Ιταλία, Ισπανία, Σουηδία και Ελλάδα.</w:t>
      </w:r>
    </w:p>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Κεφάλαιο 4, “Εντοπισμένα Κενά και Αδυναμίες”: </w:t>
      </w:r>
      <w:r w:rsidDel="00000000" w:rsidR="00000000" w:rsidRPr="00000000">
        <w:rPr>
          <w:sz w:val="24"/>
          <w:szCs w:val="24"/>
          <w:rtl w:val="0"/>
        </w:rPr>
        <w:t xml:space="preserve">Συνοψίζονται, βάσει της </w:t>
      </w:r>
      <w:r w:rsidDel="00000000" w:rsidR="00000000" w:rsidRPr="00000000">
        <w:rPr>
          <w:sz w:val="24"/>
          <w:szCs w:val="24"/>
          <w:rtl w:val="0"/>
        </w:rPr>
        <w:t xml:space="preserve">ανάλυσης των οδηγιών και των μελετών περίπτωσης, </w:t>
      </w:r>
      <w:r w:rsidDel="00000000" w:rsidR="00000000" w:rsidRPr="00000000">
        <w:rPr>
          <w:sz w:val="24"/>
          <w:szCs w:val="24"/>
          <w:rtl w:val="0"/>
        </w:rPr>
        <w:t xml:space="preserve">τα αδύναμα σημεία στη λειτουργία του συστήματος τα οποία είναι σημαντικό να αναλυθούν σε βάθος και προτείνονται μέτρα για την αντιμετώπισή τους.</w:t>
      </w:r>
    </w:p>
    <w:p w:rsidR="00000000" w:rsidDel="00000000" w:rsidP="00000000" w:rsidRDefault="00000000" w:rsidRPr="00000000">
      <w:pPr>
        <w:spacing w:after="60" w:before="60" w:line="276" w:lineRule="auto"/>
        <w:contextualSpacing w:val="0"/>
        <w:jc w:val="both"/>
        <w:rPr>
          <w:sz w:val="24"/>
          <w:szCs w:val="24"/>
        </w:rPr>
      </w:pPr>
      <w:r w:rsidDel="00000000" w:rsidR="00000000" w:rsidRPr="00000000">
        <w:rPr>
          <w:sz w:val="24"/>
          <w:szCs w:val="24"/>
          <w:rtl w:val="0"/>
        </w:rPr>
        <w:t xml:space="preserve">Τέλος, η Επιτομή έχει δυο παραρτήματα: το Παράρτημα 1 που περιγράφεται η Μεθοδολογία και η προσέγγιση επιλογής των Καλών Πρακτικών. Επίσης, περιλαμβάνει τα πρότυπα που χρησιμοποιήθηκαν για τον ορισμό των διαφορετικών περιπτώσεων. Στο Παράρτημα 2 είναι διαθέσιμο το πλήρες κείμενο των μελετών περίπτωσης.</w:t>
      </w:r>
      <w:r w:rsidDel="00000000" w:rsidR="00000000" w:rsidRPr="00000000">
        <w:rPr>
          <w:rtl w:val="0"/>
        </w:rPr>
      </w:r>
    </w:p>
    <w:sectPr>
      <w:headerReference r:id="rId6" w:type="default"/>
      <w:pgSz w:h="16838" w:w="11906"/>
      <w:pgMar w:bottom="1417" w:top="1417" w:left="1417" w:right="1417"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mbria"/>
  <w:font w:name="Georgia"/>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1">
    <w:p w:rsidR="00000000" w:rsidDel="00000000" w:rsidP="00000000" w:rsidRDefault="00000000" w:rsidRPr="00000000">
      <w:pPr>
        <w:spacing w:after="0"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Ευρωπαϊκή Διασφάλιση Ποιότητας στην Επαγγελματική Εκπαίδευση και Κατάρτιση</w:t>
      </w:r>
    </w:p>
  </w:footnote>
  <w:footnote w:id="0">
    <w:p w:rsidR="00000000" w:rsidDel="00000000" w:rsidP="00000000" w:rsidRDefault="00000000" w:rsidRPr="00000000">
      <w:pPr>
        <w:spacing w:after="0"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Διαταραχή Ελλειμματικής Προσοχής Υπερκινητικότητας</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708" w:line="276" w:lineRule="auto"/>
      <w:ind w:left="0" w:right="0" w:firstLine="0"/>
      <w:contextualSpacing w:val="0"/>
      <w:jc w:val="left"/>
      <w:rPr>
        <w:sz w:val="24"/>
        <w:szCs w:val="24"/>
      </w:rPr>
    </w:pPr>
    <w:r w:rsidDel="00000000" w:rsidR="00000000" w:rsidRPr="00000000">
      <w:rPr>
        <w:rtl w:val="0"/>
      </w:rPr>
    </w:r>
  </w:p>
  <w:tbl>
    <w:tblPr>
      <w:tblStyle w:val="Table2"/>
      <w:tblW w:w="9288.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067"/>
      <w:gridCol w:w="221"/>
      <w:tblGridChange w:id="0">
        <w:tblGrid>
          <w:gridCol w:w="9067"/>
          <w:gridCol w:w="221"/>
        </w:tblGrid>
      </w:tblGridChange>
    </w:tblGrid>
    <w:tr>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4"/>
              <w:szCs w:val="24"/>
            </w:rPr>
          </w:pPr>
          <w:r w:rsidDel="00000000" w:rsidR="00000000" w:rsidRPr="00000000">
            <w:rPr>
              <w:rtl w:val="0"/>
            </w:rPr>
          </w:r>
        </w:p>
        <w:tbl>
          <w:tblPr>
            <w:tblStyle w:val="Table1"/>
            <w:tblW w:w="10008.0" w:type="dxa"/>
            <w:jc w:val="left"/>
            <w:tblBorders>
              <w:top w:color="000000" w:space="0" w:sz="0" w:val="nil"/>
              <w:left w:color="000000" w:space="0" w:sz="0" w:val="nil"/>
              <w:bottom w:color="000000" w:space="0" w:sz="4" w:val="single"/>
              <w:right w:color="000000" w:space="0" w:sz="0" w:val="nil"/>
              <w:insideH w:color="000000" w:space="0" w:sz="4" w:val="single"/>
              <w:insideV w:color="000000" w:space="0" w:sz="0" w:val="nil"/>
            </w:tblBorders>
            <w:tblLayout w:type="fixed"/>
            <w:tblLook w:val="0400"/>
          </w:tblPr>
          <w:tblGrid>
            <w:gridCol w:w="2628"/>
            <w:gridCol w:w="5331"/>
            <w:gridCol w:w="2049"/>
            <w:tblGridChange w:id="0">
              <w:tblGrid>
                <w:gridCol w:w="2628"/>
                <w:gridCol w:w="5331"/>
                <w:gridCol w:w="2049"/>
              </w:tblGrid>
            </w:tblGridChange>
          </w:tblGrid>
          <w:tr>
            <w:trPr>
              <w:trHeight w:val="740" w:hRule="atLeast"/>
            </w:trPr>
            <w:tc>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contextualSpacing w:val="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-46989</wp:posOffset>
                      </wp:positionH>
                      <wp:positionV relativeFrom="paragraph">
                        <wp:posOffset>90170</wp:posOffset>
                      </wp:positionV>
                      <wp:extent cx="1239520" cy="356235"/>
                      <wp:effectExtent b="0" l="0" r="0" t="0"/>
                      <wp:wrapTopAndBottom distB="0" distT="0"/>
                      <wp:docPr id="1"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239520" cy="356235"/>
                              </a:xfrm>
                              <a:prstGeom prst="rect"/>
                              <a:ln/>
                            </pic:spPr>
                          </pic:pic>
                        </a:graphicData>
                      </a:graphic>
                    </wp:anchor>
                  </w:drawing>
                </w:r>
              </w:p>
            </w:tc>
            <w:tc>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contextualSpacing w:val="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contextualSpacing w:val="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Project No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2016-1-BG01-KA202-023714</w:t>
                </w:r>
                <w:r w:rsidDel="00000000" w:rsidR="00000000" w:rsidRPr="00000000">
                  <w:rPr>
                    <w:rtl w:val="0"/>
                  </w:rPr>
                </w:r>
              </w:p>
            </w:tc>
            <w:tc>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contextualSpacing w:val="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17500</wp:posOffset>
                      </wp:positionH>
                      <wp:positionV relativeFrom="paragraph">
                        <wp:posOffset>-4419</wp:posOffset>
                      </wp:positionV>
                      <wp:extent cx="574716" cy="451262"/>
                      <wp:effectExtent b="0" l="0" r="0" t="0"/>
                      <wp:wrapTopAndBottom distB="0" distT="0"/>
                      <wp:docPr id="2"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574716" cy="451262"/>
                              </a:xfrm>
                              <a:prstGeom prst="rect"/>
                              <a:ln/>
                            </pic:spPr>
                          </pic:pic>
                        </a:graphicData>
                      </a:graphic>
                    </wp:anchor>
                  </w:drawing>
                </w:r>
              </w:p>
            </w:tc>
          </w:tr>
        </w:tbl>
        <w:p w:rsidR="00000000" w:rsidDel="00000000" w:rsidP="00000000" w:rsidRDefault="00000000" w:rsidRPr="00000000">
          <w:pPr>
            <w:spacing w:before="360" w:lineRule="auto"/>
            <w:contextualSpacing w:val="0"/>
            <w:rPr/>
          </w:pPr>
          <w:r w:rsidDel="00000000" w:rsidR="00000000" w:rsidRPr="00000000">
            <w:rPr>
              <w:rtl w:val="0"/>
            </w:rPr>
          </w:r>
        </w:p>
      </w:tc>
      <w:tc>
        <w:tcPr/>
        <w:p w:rsidR="00000000" w:rsidDel="00000000" w:rsidP="00000000" w:rsidRDefault="00000000" w:rsidRPr="00000000">
          <w:pPr>
            <w:spacing w:before="600" w:lineRule="auto"/>
            <w:contextualSpacing w:val="0"/>
            <w:jc w:val="right"/>
            <w:rPr/>
          </w:pPr>
          <w:r w:rsidDel="00000000" w:rsidR="00000000" w:rsidRPr="00000000">
            <w:rPr>
              <w:rtl w:val="0"/>
            </w:rPr>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contextualSpacing w:val="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mbria" w:cs="Cambria" w:eastAsia="Cambria" w:hAnsi="Cambria"/>
        <w:b w:val="0"/>
        <w:i w:val="0"/>
        <w:smallCaps w:val="0"/>
        <w:strike w:val="0"/>
        <w:color w:val="000000"/>
        <w:sz w:val="22"/>
        <w:szCs w:val="22"/>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before="480" w:lineRule="auto"/>
      <w:ind w:left="720" w:hanging="360"/>
      <w:contextualSpacing w:val="0"/>
    </w:pPr>
    <w:rPr>
      <w:rFonts w:ascii="Palatino Linotype" w:cs="Palatino Linotype" w:eastAsia="Palatino Linotype" w:hAnsi="Palatino Linotype"/>
      <w:b w:val="1"/>
      <w:smallCaps w:val="1"/>
      <w:sz w:val="28"/>
      <w:szCs w:val="28"/>
    </w:rPr>
  </w:style>
  <w:style w:type="paragraph" w:styleId="Heading2">
    <w:name w:val="heading 2"/>
    <w:basedOn w:val="Normal"/>
    <w:next w:val="Normal"/>
    <w:pPr>
      <w:keepNext w:val="1"/>
      <w:spacing w:after="60" w:before="240" w:lineRule="auto"/>
    </w:pPr>
    <w:rPr>
      <w:b w:val="1"/>
      <w:i w:val="1"/>
      <w:sz w:val="28"/>
      <w:szCs w:val="28"/>
    </w:rPr>
  </w:style>
  <w:style w:type="paragraph" w:styleId="Heading3">
    <w:name w:val="heading 3"/>
    <w:basedOn w:val="Normal"/>
    <w:next w:val="Normal"/>
    <w:pPr>
      <w:keepNext w:val="1"/>
      <w:keepLines w:val="1"/>
      <w:spacing w:before="240" w:lineRule="auto"/>
      <w:ind w:left="1224" w:right="72" w:hanging="432"/>
    </w:pPr>
    <w:rPr>
      <w:rFonts w:ascii="Times" w:cs="Times" w:eastAsia="Times" w:hAnsi="Times"/>
      <w:b w:val="1"/>
    </w:rPr>
  </w:style>
  <w:style w:type="paragraph" w:styleId="Heading4">
    <w:name w:val="heading 4"/>
    <w:basedOn w:val="Normal"/>
    <w:next w:val="Normal"/>
    <w:pPr>
      <w:keepNext w:val="1"/>
      <w:keepLines w:val="1"/>
      <w:spacing w:before="240" w:lineRule="auto"/>
      <w:ind w:left="1584" w:right="72" w:hanging="720"/>
    </w:pPr>
    <w:rPr>
      <w:rFonts w:ascii="Times" w:cs="Times" w:eastAsia="Times" w:hAnsi="Times"/>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top w:space="0" w:sz="0" w:val="nil"/>
        <w:left w:space="0" w:sz="0" w:val="nil"/>
        <w:bottom w:space="0" w:sz="0" w:val="nil"/>
        <w:right w:space="0" w:sz="0" w:val="nil"/>
        <w:between w:space="0" w:sz="0" w:val="nil"/>
      </w:pBdr>
      <w:spacing w:after="300" w:line="240" w:lineRule="auto"/>
    </w:pPr>
    <w:rPr>
      <w:rFonts w:ascii="Cambria" w:cs="Cambria" w:eastAsia="Cambria" w:hAnsi="Cambria"/>
      <w:smallCaps w:val="1"/>
      <w:color w:val="000000"/>
      <w:sz w:val="52"/>
      <w:szCs w:val="5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mbria" w:cs="Cambria" w:eastAsia="Cambria" w:hAnsi="Cambria"/>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Cambria" w:cs="Cambria" w:eastAsia="Cambria" w:hAnsi="Cambria"/>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footnotes" Target="footnotes.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4.png"/></Relationships>
</file>