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A6" w:rsidRPr="00260D14" w:rsidRDefault="00405524">
      <w:pPr>
        <w:pStyle w:val="Normale1"/>
        <w:spacing w:after="120" w:line="240" w:lineRule="auto"/>
        <w:jc w:val="center"/>
        <w:rPr>
          <w:sz w:val="72"/>
          <w:szCs w:val="56"/>
          <w:lang w:val="it-IT"/>
        </w:rPr>
      </w:pPr>
      <w:bookmarkStart w:id="0" w:name="_GoBack"/>
      <w:bookmarkEnd w:id="0"/>
      <w:r w:rsidRPr="00260D14">
        <w:rPr>
          <w:sz w:val="72"/>
          <w:szCs w:val="56"/>
          <w:lang w:val="it-IT"/>
        </w:rPr>
        <w:t>Sintesi</w:t>
      </w:r>
    </w:p>
    <w:p w:rsidR="00A952A6" w:rsidRPr="00260D14" w:rsidRDefault="00405524">
      <w:pPr>
        <w:pStyle w:val="Normale1"/>
        <w:spacing w:after="0" w:line="240" w:lineRule="auto"/>
        <w:jc w:val="center"/>
        <w:rPr>
          <w:sz w:val="36"/>
          <w:szCs w:val="32"/>
          <w:lang w:val="it-IT"/>
        </w:rPr>
      </w:pPr>
      <w:proofErr w:type="gramStart"/>
      <w:r w:rsidRPr="00260D14">
        <w:rPr>
          <w:sz w:val="36"/>
          <w:szCs w:val="32"/>
          <w:lang w:val="it-IT"/>
        </w:rPr>
        <w:t>del</w:t>
      </w:r>
      <w:proofErr w:type="gramEnd"/>
    </w:p>
    <w:p w:rsidR="00A952A6" w:rsidRPr="00260D14" w:rsidRDefault="00405524">
      <w:pPr>
        <w:pStyle w:val="Titolo"/>
        <w:spacing w:after="0"/>
        <w:jc w:val="center"/>
        <w:rPr>
          <w:b/>
          <w:sz w:val="36"/>
          <w:szCs w:val="32"/>
          <w:lang w:val="it-IT"/>
        </w:rPr>
      </w:pPr>
      <w:r w:rsidRPr="00260D14">
        <w:rPr>
          <w:b/>
          <w:sz w:val="36"/>
          <w:szCs w:val="32"/>
          <w:lang w:val="it-IT"/>
        </w:rPr>
        <w:t>Compendio di Buone Pra</w:t>
      </w:r>
      <w:r w:rsidR="00842BC7" w:rsidRPr="00260D14">
        <w:rPr>
          <w:b/>
          <w:sz w:val="36"/>
          <w:szCs w:val="32"/>
          <w:lang w:val="it-IT"/>
        </w:rPr>
        <w:t>tic</w:t>
      </w:r>
      <w:r w:rsidRPr="00260D14">
        <w:rPr>
          <w:b/>
          <w:sz w:val="36"/>
          <w:szCs w:val="32"/>
          <w:lang w:val="it-IT"/>
        </w:rPr>
        <w:t>h</w:t>
      </w:r>
      <w:r w:rsidR="00842BC7" w:rsidRPr="00260D14">
        <w:rPr>
          <w:b/>
          <w:sz w:val="36"/>
          <w:szCs w:val="32"/>
          <w:lang w:val="it-IT"/>
        </w:rPr>
        <w:t>e:</w:t>
      </w:r>
    </w:p>
    <w:p w:rsidR="00A952A6" w:rsidRPr="00260D14" w:rsidRDefault="00405524">
      <w:pPr>
        <w:pStyle w:val="Titolo"/>
        <w:spacing w:after="0"/>
        <w:jc w:val="center"/>
        <w:rPr>
          <w:b/>
          <w:sz w:val="36"/>
          <w:szCs w:val="32"/>
          <w:lang w:val="it-IT"/>
        </w:rPr>
      </w:pPr>
      <w:r w:rsidRPr="00260D14">
        <w:rPr>
          <w:b/>
          <w:sz w:val="36"/>
          <w:szCs w:val="32"/>
          <w:lang w:val="it-IT"/>
        </w:rPr>
        <w:t>La Formazione Professionale</w:t>
      </w:r>
      <w:r w:rsidR="00842BC7" w:rsidRPr="00260D14">
        <w:rPr>
          <w:b/>
          <w:sz w:val="36"/>
          <w:szCs w:val="32"/>
          <w:lang w:val="it-IT"/>
        </w:rPr>
        <w:t xml:space="preserve"> </w:t>
      </w:r>
      <w:r w:rsidRPr="00260D14">
        <w:rPr>
          <w:b/>
          <w:sz w:val="36"/>
          <w:szCs w:val="32"/>
          <w:lang w:val="it-IT"/>
        </w:rPr>
        <w:t xml:space="preserve">per studenti </w:t>
      </w:r>
      <w:r w:rsidRPr="00260D14">
        <w:rPr>
          <w:b/>
          <w:sz w:val="36"/>
          <w:szCs w:val="32"/>
          <w:lang w:val="it-IT"/>
        </w:rPr>
        <w:br/>
        <w:t>con disturbi di apprendimento</w:t>
      </w:r>
    </w:p>
    <w:p w:rsidR="00A952A6" w:rsidRPr="00260D14" w:rsidRDefault="00A952A6">
      <w:pPr>
        <w:pStyle w:val="Normale1"/>
        <w:jc w:val="center"/>
        <w:rPr>
          <w:sz w:val="36"/>
          <w:szCs w:val="32"/>
          <w:lang w:val="it-IT"/>
        </w:rPr>
      </w:pPr>
    </w:p>
    <w:p w:rsidR="00A952A6" w:rsidRPr="00260D14" w:rsidRDefault="00405524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 xml:space="preserve">Questo </w:t>
      </w:r>
      <w:r w:rsidR="00842BC7" w:rsidRPr="00260D14">
        <w:rPr>
          <w:sz w:val="24"/>
          <w:lang w:val="it-IT"/>
        </w:rPr>
        <w:t xml:space="preserve">report </w:t>
      </w:r>
      <w:proofErr w:type="gramStart"/>
      <w:r w:rsidR="0089272F" w:rsidRPr="00260D14">
        <w:rPr>
          <w:sz w:val="24"/>
          <w:lang w:val="it-IT"/>
        </w:rPr>
        <w:t xml:space="preserve">si </w:t>
      </w:r>
      <w:proofErr w:type="gramEnd"/>
      <w:r w:rsidRPr="00260D14">
        <w:rPr>
          <w:sz w:val="24"/>
          <w:lang w:val="it-IT"/>
        </w:rPr>
        <w:t xml:space="preserve">inserisce nel contesto del progetto </w:t>
      </w:r>
      <w:r w:rsidR="00842BC7" w:rsidRPr="00260D14">
        <w:rPr>
          <w:sz w:val="24"/>
          <w:lang w:val="it-IT"/>
        </w:rPr>
        <w:t xml:space="preserve">Q4ADHD </w:t>
      </w:r>
      <w:r w:rsidR="0089272F" w:rsidRPr="00260D14">
        <w:rPr>
          <w:sz w:val="24"/>
          <w:lang w:val="it-IT"/>
        </w:rPr>
        <w:t>–</w:t>
      </w:r>
      <w:r w:rsidR="00842BC7" w:rsidRPr="00260D14">
        <w:rPr>
          <w:sz w:val="24"/>
          <w:lang w:val="it-IT"/>
        </w:rPr>
        <w:t xml:space="preserve"> </w:t>
      </w:r>
      <w:r w:rsidR="0091240D" w:rsidRPr="00260D14">
        <w:rPr>
          <w:sz w:val="24"/>
          <w:lang w:val="it-IT"/>
        </w:rPr>
        <w:t>Garanzia della qualità nell’educazione e formazione professionale per studenti con disturbi dell’apprendimento</w:t>
      </w:r>
      <w:r w:rsidR="004915E1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>–</w:t>
      </w:r>
      <w:r w:rsidR="00842BC7" w:rsidRPr="00260D14">
        <w:rPr>
          <w:sz w:val="24"/>
          <w:lang w:val="it-IT"/>
        </w:rPr>
        <w:t xml:space="preserve"> f</w:t>
      </w:r>
      <w:r w:rsidRPr="00260D14">
        <w:rPr>
          <w:sz w:val="24"/>
          <w:lang w:val="it-IT"/>
        </w:rPr>
        <w:t>inanziato dal programma europeo Erasmus+</w:t>
      </w:r>
      <w:r w:rsidR="00842BC7" w:rsidRPr="00260D14">
        <w:rPr>
          <w:sz w:val="24"/>
          <w:lang w:val="it-IT"/>
        </w:rPr>
        <w:t>.</w:t>
      </w:r>
    </w:p>
    <w:p w:rsidR="00A952A6" w:rsidRPr="00260D14" w:rsidRDefault="003A1982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Si tratta del</w:t>
      </w:r>
      <w:r w:rsidR="00405524" w:rsidRPr="00260D14">
        <w:rPr>
          <w:sz w:val="24"/>
          <w:lang w:val="it-IT"/>
        </w:rPr>
        <w:t xml:space="preserve"> primo </w:t>
      </w:r>
      <w:r w:rsidR="00842BC7" w:rsidRPr="00260D14">
        <w:rPr>
          <w:sz w:val="24"/>
          <w:lang w:val="it-IT"/>
        </w:rPr>
        <w:t>Compendi</w:t>
      </w:r>
      <w:r w:rsidR="00405524" w:rsidRPr="00260D14">
        <w:rPr>
          <w:sz w:val="24"/>
          <w:lang w:val="it-IT"/>
        </w:rPr>
        <w:t>o di</w:t>
      </w:r>
      <w:r w:rsidR="00842BC7" w:rsidRPr="00260D14">
        <w:rPr>
          <w:sz w:val="24"/>
          <w:lang w:val="it-IT"/>
        </w:rPr>
        <w:t xml:space="preserve"> </w:t>
      </w:r>
      <w:r w:rsidR="00405524" w:rsidRPr="00260D14">
        <w:rPr>
          <w:sz w:val="24"/>
          <w:lang w:val="it-IT"/>
        </w:rPr>
        <w:t xml:space="preserve">buone pratiche nell’ambito della garanzia </w:t>
      </w:r>
      <w:proofErr w:type="gramStart"/>
      <w:r w:rsidR="00405524" w:rsidRPr="00260D14">
        <w:rPr>
          <w:sz w:val="24"/>
          <w:lang w:val="it-IT"/>
        </w:rPr>
        <w:t>della</w:t>
      </w:r>
      <w:proofErr w:type="gramEnd"/>
      <w:r w:rsidR="00D83FBE" w:rsidRPr="00260D14">
        <w:rPr>
          <w:sz w:val="24"/>
          <w:lang w:val="it-IT"/>
        </w:rPr>
        <w:t xml:space="preserve"> q</w:t>
      </w:r>
      <w:r w:rsidR="00405524" w:rsidRPr="00260D14">
        <w:rPr>
          <w:sz w:val="24"/>
          <w:lang w:val="it-IT"/>
        </w:rPr>
        <w:t xml:space="preserve">ualità dell’istruzione e formazione professionale </w:t>
      </w:r>
      <w:r w:rsidR="00842BC7" w:rsidRPr="00260D14">
        <w:rPr>
          <w:sz w:val="24"/>
          <w:lang w:val="it-IT"/>
        </w:rPr>
        <w:t xml:space="preserve">(EQAVET) </w:t>
      </w:r>
      <w:r w:rsidR="00405524" w:rsidRPr="00260D14">
        <w:rPr>
          <w:sz w:val="24"/>
          <w:lang w:val="it-IT"/>
        </w:rPr>
        <w:t>per studenti con disturbi dell’apprendimento</w:t>
      </w:r>
      <w:r w:rsidR="00842BC7" w:rsidRPr="00260D14">
        <w:rPr>
          <w:sz w:val="24"/>
          <w:lang w:val="it-IT"/>
        </w:rPr>
        <w:t xml:space="preserve">. </w:t>
      </w:r>
    </w:p>
    <w:p w:rsidR="00606085" w:rsidRPr="00260D14" w:rsidRDefault="00405524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>L’obiet</w:t>
      </w:r>
      <w:r w:rsidR="00606085" w:rsidRPr="00260D14">
        <w:rPr>
          <w:sz w:val="24"/>
          <w:lang w:val="it-IT"/>
        </w:rPr>
        <w:t xml:space="preserve">tivo è </w:t>
      </w:r>
      <w:r w:rsidR="003A1982">
        <w:rPr>
          <w:sz w:val="24"/>
          <w:lang w:val="it-IT"/>
        </w:rPr>
        <w:t xml:space="preserve">di individuare </w:t>
      </w:r>
      <w:r w:rsidR="00606085" w:rsidRPr="00260D14">
        <w:rPr>
          <w:sz w:val="24"/>
          <w:lang w:val="it-IT"/>
        </w:rPr>
        <w:t>esempi di buone pratiche in termini di tecniche, metodologie, approcci e risultati ottenuti.</w:t>
      </w:r>
    </w:p>
    <w:p w:rsidR="00D83FBE" w:rsidRPr="00260D14" w:rsidRDefault="00606085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>Il lavoro di ricerc</w:t>
      </w:r>
      <w:r w:rsidR="00D83FBE" w:rsidRPr="00260D14">
        <w:rPr>
          <w:sz w:val="24"/>
          <w:lang w:val="it-IT"/>
        </w:rPr>
        <w:t xml:space="preserve">a è stato </w:t>
      </w:r>
      <w:r w:rsidR="002701A3">
        <w:rPr>
          <w:sz w:val="24"/>
          <w:lang w:val="it-IT"/>
        </w:rPr>
        <w:t>avviato</w:t>
      </w:r>
      <w:r w:rsidR="002701A3" w:rsidRPr="00260D14">
        <w:rPr>
          <w:sz w:val="24"/>
          <w:lang w:val="it-IT"/>
        </w:rPr>
        <w:t xml:space="preserve"> </w:t>
      </w:r>
      <w:r w:rsidR="003A1982">
        <w:rPr>
          <w:sz w:val="24"/>
          <w:lang w:val="it-IT"/>
        </w:rPr>
        <w:t>partendo da uno studio preliminare sulle</w:t>
      </w:r>
      <w:r w:rsidRPr="00260D14">
        <w:rPr>
          <w:sz w:val="24"/>
          <w:lang w:val="it-IT"/>
        </w:rPr>
        <w:t xml:space="preserve"> buone pratiche nell’ambito </w:t>
      </w:r>
      <w:r w:rsidR="006F3DA4" w:rsidRPr="00260D14">
        <w:rPr>
          <w:sz w:val="24"/>
          <w:lang w:val="it-IT"/>
        </w:rPr>
        <w:t>dell’</w:t>
      </w:r>
      <w:r w:rsidR="006F3DA4">
        <w:rPr>
          <w:sz w:val="24"/>
          <w:lang w:val="it-IT"/>
        </w:rPr>
        <w:t>istruzione</w:t>
      </w:r>
      <w:r w:rsidR="006F3DA4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>e</w:t>
      </w:r>
      <w:r w:rsidR="002701A3">
        <w:rPr>
          <w:sz w:val="24"/>
          <w:lang w:val="it-IT"/>
        </w:rPr>
        <w:t>,</w:t>
      </w:r>
      <w:r w:rsidRPr="00260D14">
        <w:rPr>
          <w:sz w:val="24"/>
          <w:lang w:val="it-IT"/>
        </w:rPr>
        <w:t xml:space="preserve"> in particolare</w:t>
      </w:r>
      <w:r w:rsidR="002701A3">
        <w:rPr>
          <w:sz w:val="24"/>
          <w:lang w:val="it-IT"/>
        </w:rPr>
        <w:t>,</w:t>
      </w:r>
      <w:r w:rsidRPr="00260D14">
        <w:rPr>
          <w:sz w:val="24"/>
          <w:lang w:val="it-IT"/>
        </w:rPr>
        <w:t xml:space="preserve"> nell’ambito dell’istruzione e formazione professionale</w:t>
      </w:r>
      <w:r w:rsidR="00D83FBE" w:rsidRPr="00260D14">
        <w:rPr>
          <w:sz w:val="24"/>
          <w:lang w:val="it-IT"/>
        </w:rPr>
        <w:t xml:space="preserve"> (IFP)</w:t>
      </w:r>
      <w:r w:rsidRPr="00260D14">
        <w:rPr>
          <w:sz w:val="24"/>
          <w:lang w:val="it-IT"/>
        </w:rPr>
        <w:t xml:space="preserve"> rivolt</w:t>
      </w:r>
      <w:r w:rsidR="002701A3">
        <w:rPr>
          <w:sz w:val="24"/>
          <w:lang w:val="it-IT"/>
        </w:rPr>
        <w:t>o</w:t>
      </w:r>
      <w:r w:rsidRPr="00260D14">
        <w:rPr>
          <w:sz w:val="24"/>
          <w:lang w:val="it-IT"/>
        </w:rPr>
        <w:t xml:space="preserve"> a discenti con disturbi dell’apprendimento nei paesi partner, attraverso l’utilizzo di Casi Stu</w:t>
      </w:r>
      <w:r w:rsidR="00D83FBE" w:rsidRPr="00260D14">
        <w:rPr>
          <w:sz w:val="24"/>
          <w:lang w:val="it-IT"/>
        </w:rPr>
        <w:t>dio e Linee Guida come fonti d’</w:t>
      </w:r>
      <w:r w:rsidRPr="00260D14">
        <w:rPr>
          <w:sz w:val="24"/>
          <w:lang w:val="it-IT"/>
        </w:rPr>
        <w:t xml:space="preserve">informazione. </w:t>
      </w:r>
      <w:r w:rsidR="006F3DA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 xml:space="preserve">In un secondo momento si è svolto un lavoro di selezione </w:t>
      </w:r>
      <w:r w:rsidR="002701A3">
        <w:rPr>
          <w:sz w:val="24"/>
          <w:lang w:val="it-IT"/>
        </w:rPr>
        <w:t>del</w:t>
      </w:r>
      <w:r w:rsidRPr="00260D14">
        <w:rPr>
          <w:sz w:val="24"/>
          <w:lang w:val="it-IT"/>
        </w:rPr>
        <w:t xml:space="preserve">le pratiche migliori (tra i risultati </w:t>
      </w:r>
      <w:r w:rsidR="0089272F" w:rsidRPr="00260D14">
        <w:rPr>
          <w:sz w:val="24"/>
          <w:lang w:val="it-IT"/>
        </w:rPr>
        <w:t>emersi</w:t>
      </w:r>
      <w:r w:rsidRPr="00260D14">
        <w:rPr>
          <w:sz w:val="24"/>
          <w:lang w:val="it-IT"/>
        </w:rPr>
        <w:t xml:space="preserve"> durante la prima fase di ri</w:t>
      </w:r>
      <w:r w:rsidR="00D83FBE" w:rsidRPr="00260D14">
        <w:rPr>
          <w:sz w:val="24"/>
          <w:lang w:val="it-IT"/>
        </w:rPr>
        <w:t xml:space="preserve">cerca) e d’identificazione delle principali </w:t>
      </w:r>
      <w:proofErr w:type="gramStart"/>
      <w:r w:rsidR="00D83FBE" w:rsidRPr="00260D14">
        <w:rPr>
          <w:sz w:val="24"/>
          <w:lang w:val="it-IT"/>
        </w:rPr>
        <w:t>carenze</w:t>
      </w:r>
      <w:proofErr w:type="gramEnd"/>
      <w:r w:rsidR="00D83FBE" w:rsidRPr="00260D14">
        <w:rPr>
          <w:sz w:val="24"/>
          <w:lang w:val="it-IT"/>
        </w:rPr>
        <w:t xml:space="preserve"> nella letteratura attuale. </w:t>
      </w:r>
      <w:r w:rsidRPr="00260D14">
        <w:rPr>
          <w:sz w:val="24"/>
          <w:lang w:val="it-IT"/>
        </w:rPr>
        <w:t xml:space="preserve"> </w:t>
      </w:r>
      <w:bookmarkStart w:id="1" w:name="_gjdgxs" w:colFirst="0" w:colLast="0"/>
      <w:bookmarkEnd w:id="1"/>
    </w:p>
    <w:p w:rsidR="00A952A6" w:rsidRPr="00260D14" w:rsidRDefault="00D83FBE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 xml:space="preserve">Gli utenti </w:t>
      </w:r>
      <w:proofErr w:type="gramStart"/>
      <w:r w:rsidRPr="00260D14">
        <w:rPr>
          <w:sz w:val="24"/>
          <w:lang w:val="it-IT"/>
        </w:rPr>
        <w:t>a cui</w:t>
      </w:r>
      <w:proofErr w:type="gramEnd"/>
      <w:r w:rsidRPr="00260D14">
        <w:rPr>
          <w:sz w:val="24"/>
          <w:lang w:val="it-IT"/>
        </w:rPr>
        <w:t xml:space="preserve"> è destinato il </w:t>
      </w:r>
      <w:r w:rsidR="00842BC7" w:rsidRPr="00260D14">
        <w:rPr>
          <w:sz w:val="24"/>
          <w:lang w:val="it-IT"/>
        </w:rPr>
        <w:t>Compendi</w:t>
      </w:r>
      <w:r w:rsidRPr="00260D14">
        <w:rPr>
          <w:sz w:val="24"/>
          <w:lang w:val="it-IT"/>
        </w:rPr>
        <w:t>o sono attori rilevanti nel</w:t>
      </w:r>
      <w:r w:rsidR="00F81D80">
        <w:rPr>
          <w:sz w:val="24"/>
          <w:lang w:val="it-IT"/>
        </w:rPr>
        <w:t xml:space="preserve"> campo dell</w:t>
      </w:r>
      <w:r w:rsidRPr="00260D14">
        <w:rPr>
          <w:sz w:val="24"/>
          <w:lang w:val="it-IT"/>
        </w:rPr>
        <w:t>’</w:t>
      </w:r>
      <w:r w:rsidR="00F81D80">
        <w:rPr>
          <w:sz w:val="24"/>
          <w:lang w:val="it-IT"/>
        </w:rPr>
        <w:t>istruzione</w:t>
      </w:r>
      <w:r w:rsidRPr="00260D14">
        <w:rPr>
          <w:sz w:val="24"/>
          <w:lang w:val="it-IT"/>
        </w:rPr>
        <w:t xml:space="preserve"> e formazione professionale a livello europeo: erogatori di IFP, associaz</w:t>
      </w:r>
      <w:r w:rsidR="00842BC7" w:rsidRPr="00260D14">
        <w:rPr>
          <w:sz w:val="24"/>
          <w:lang w:val="it-IT"/>
        </w:rPr>
        <w:t>ion</w:t>
      </w:r>
      <w:r w:rsidRPr="00260D14">
        <w:rPr>
          <w:sz w:val="24"/>
          <w:lang w:val="it-IT"/>
        </w:rPr>
        <w:t>i</w:t>
      </w:r>
      <w:r w:rsidR="00842BC7" w:rsidRPr="00260D14">
        <w:rPr>
          <w:sz w:val="24"/>
          <w:lang w:val="it-IT"/>
        </w:rPr>
        <w:t xml:space="preserve">, </w:t>
      </w:r>
      <w:r w:rsidRPr="00260D14">
        <w:rPr>
          <w:sz w:val="24"/>
          <w:lang w:val="it-IT"/>
        </w:rPr>
        <w:t>genitori di studenti con disturbi dell’apprendimento</w:t>
      </w:r>
      <w:r w:rsidR="00842BC7" w:rsidRPr="00260D14">
        <w:rPr>
          <w:sz w:val="24"/>
          <w:lang w:val="it-IT"/>
        </w:rPr>
        <w:t>,</w:t>
      </w:r>
      <w:r w:rsidRPr="00260D14">
        <w:rPr>
          <w:sz w:val="24"/>
          <w:lang w:val="it-IT"/>
        </w:rPr>
        <w:t xml:space="preserve"> decisori politici ed aziende</w:t>
      </w:r>
      <w:r w:rsidR="00842BC7" w:rsidRPr="00260D14">
        <w:rPr>
          <w:sz w:val="24"/>
          <w:lang w:val="it-IT"/>
        </w:rPr>
        <w:t xml:space="preserve">. </w:t>
      </w:r>
    </w:p>
    <w:p w:rsidR="00A952A6" w:rsidRPr="00260D14" w:rsidRDefault="00D83FBE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 xml:space="preserve">Il </w:t>
      </w:r>
      <w:r w:rsidR="00842BC7" w:rsidRPr="00260D14">
        <w:rPr>
          <w:sz w:val="24"/>
          <w:lang w:val="it-IT"/>
        </w:rPr>
        <w:t>Compendi</w:t>
      </w:r>
      <w:r w:rsidRPr="00260D14">
        <w:rPr>
          <w:sz w:val="24"/>
          <w:lang w:val="it-IT"/>
        </w:rPr>
        <w:t xml:space="preserve">o </w:t>
      </w:r>
      <w:r w:rsidR="00F81D80">
        <w:rPr>
          <w:sz w:val="24"/>
          <w:lang w:val="it-IT"/>
        </w:rPr>
        <w:t>è strutturato</w:t>
      </w:r>
      <w:r w:rsidRPr="00260D14">
        <w:rPr>
          <w:sz w:val="24"/>
          <w:lang w:val="it-IT"/>
        </w:rPr>
        <w:t xml:space="preserve"> in quattro capitoli</w:t>
      </w:r>
      <w:r w:rsidR="00F81D80">
        <w:rPr>
          <w:sz w:val="24"/>
          <w:lang w:val="it-IT"/>
        </w:rPr>
        <w:t xml:space="preserve"> principali</w:t>
      </w:r>
      <w:r w:rsidRPr="00260D14">
        <w:rPr>
          <w:sz w:val="24"/>
          <w:lang w:val="it-IT"/>
        </w:rPr>
        <w:t>:</w:t>
      </w:r>
    </w:p>
    <w:p w:rsidR="009E27AA" w:rsidRPr="00260D14" w:rsidRDefault="009E27AA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i/>
          <w:sz w:val="24"/>
          <w:lang w:val="it-IT"/>
        </w:rPr>
        <w:t>Capitolo</w:t>
      </w:r>
      <w:r w:rsidR="00842BC7" w:rsidRPr="00260D14">
        <w:rPr>
          <w:i/>
          <w:sz w:val="24"/>
          <w:lang w:val="it-IT"/>
        </w:rPr>
        <w:t xml:space="preserve"> </w:t>
      </w:r>
      <w:proofErr w:type="gramStart"/>
      <w:r w:rsidR="00842BC7" w:rsidRPr="00260D14">
        <w:rPr>
          <w:i/>
          <w:sz w:val="24"/>
          <w:lang w:val="it-IT"/>
        </w:rPr>
        <w:t>1</w:t>
      </w:r>
      <w:proofErr w:type="gramEnd"/>
      <w:r w:rsidRPr="00260D14">
        <w:rPr>
          <w:sz w:val="24"/>
          <w:lang w:val="it-IT"/>
        </w:rPr>
        <w:t>: “Introduzione e</w:t>
      </w:r>
      <w:r w:rsidR="00842BC7" w:rsidRPr="00260D14">
        <w:rPr>
          <w:sz w:val="24"/>
          <w:lang w:val="it-IT"/>
        </w:rPr>
        <w:t xml:space="preserve"> Metodolog</w:t>
      </w:r>
      <w:r w:rsidRPr="00260D14">
        <w:rPr>
          <w:sz w:val="24"/>
          <w:lang w:val="it-IT"/>
        </w:rPr>
        <w:t>ia</w:t>
      </w:r>
      <w:r w:rsidR="00842BC7" w:rsidRPr="00260D14">
        <w:rPr>
          <w:sz w:val="24"/>
          <w:lang w:val="it-IT"/>
        </w:rPr>
        <w:t xml:space="preserve">” </w:t>
      </w:r>
      <w:r w:rsidRPr="00260D14">
        <w:rPr>
          <w:sz w:val="24"/>
          <w:lang w:val="it-IT"/>
        </w:rPr>
        <w:t xml:space="preserve">presenta gli obiettivi, </w:t>
      </w:r>
      <w:r w:rsidR="00F81D80">
        <w:rPr>
          <w:sz w:val="24"/>
          <w:lang w:val="it-IT"/>
        </w:rPr>
        <w:t>il partenariato e</w:t>
      </w:r>
      <w:r w:rsidR="00E97BBC" w:rsidRPr="00260D14">
        <w:rPr>
          <w:rFonts w:eastAsia="Arial" w:cs="Arial"/>
          <w:sz w:val="24"/>
          <w:lang w:val="it-IT"/>
        </w:rPr>
        <w:t xml:space="preserve"> </w:t>
      </w:r>
      <w:proofErr w:type="spellStart"/>
      <w:r w:rsidRPr="00260D14">
        <w:rPr>
          <w:rFonts w:eastAsia="Arial" w:cs="Arial"/>
          <w:sz w:val="24"/>
          <w:lang w:val="it-IT"/>
        </w:rPr>
        <w:t>e</w:t>
      </w:r>
      <w:proofErr w:type="spellEnd"/>
      <w:r w:rsidRPr="00260D14">
        <w:rPr>
          <w:rFonts w:eastAsia="Arial" w:cs="Arial"/>
          <w:sz w:val="24"/>
          <w:lang w:val="it-IT"/>
        </w:rPr>
        <w:t xml:space="preserve"> gli utenti finali del progetto</w:t>
      </w:r>
      <w:r w:rsidR="00F81D80">
        <w:rPr>
          <w:rFonts w:eastAsia="Arial" w:cs="Arial"/>
          <w:sz w:val="24"/>
          <w:lang w:val="it-IT"/>
        </w:rPr>
        <w:t xml:space="preserve"> Q4ADHD</w:t>
      </w:r>
      <w:r w:rsidR="00842BC7" w:rsidRPr="00260D14">
        <w:rPr>
          <w:sz w:val="24"/>
          <w:lang w:val="it-IT"/>
        </w:rPr>
        <w:t xml:space="preserve">. </w:t>
      </w:r>
      <w:r w:rsidRPr="00260D14">
        <w:rPr>
          <w:sz w:val="24"/>
          <w:lang w:val="it-IT"/>
        </w:rPr>
        <w:t xml:space="preserve">La metodologia adottata è stata sviluppata </w:t>
      </w:r>
      <w:r w:rsidR="00592735">
        <w:rPr>
          <w:sz w:val="24"/>
          <w:lang w:val="it-IT"/>
        </w:rPr>
        <w:t>con la cooperazione di tutti i</w:t>
      </w:r>
      <w:r w:rsidRPr="00260D14">
        <w:rPr>
          <w:sz w:val="24"/>
          <w:lang w:val="it-IT"/>
        </w:rPr>
        <w:t xml:space="preserve"> </w:t>
      </w:r>
      <w:proofErr w:type="spellStart"/>
      <w:r w:rsidRPr="00260D14">
        <w:rPr>
          <w:sz w:val="24"/>
          <w:lang w:val="it-IT"/>
        </w:rPr>
        <w:t>partner</w:t>
      </w:r>
      <w:r w:rsidR="00592735">
        <w:rPr>
          <w:sz w:val="24"/>
          <w:lang w:val="it-IT"/>
        </w:rPr>
        <w:t>s</w:t>
      </w:r>
      <w:proofErr w:type="spellEnd"/>
      <w:r w:rsidRPr="00260D14">
        <w:rPr>
          <w:sz w:val="24"/>
          <w:lang w:val="it-IT"/>
        </w:rPr>
        <w:t xml:space="preserve">. Essa </w:t>
      </w:r>
      <w:r w:rsidR="00592735">
        <w:rPr>
          <w:sz w:val="24"/>
          <w:lang w:val="it-IT"/>
        </w:rPr>
        <w:t>comprende</w:t>
      </w:r>
      <w:r w:rsidR="00592735" w:rsidRPr="00260D14">
        <w:rPr>
          <w:sz w:val="24"/>
          <w:lang w:val="it-IT"/>
        </w:rPr>
        <w:t xml:space="preserve"> </w:t>
      </w:r>
      <w:r w:rsidR="00592735">
        <w:rPr>
          <w:sz w:val="24"/>
          <w:lang w:val="it-IT"/>
        </w:rPr>
        <w:t xml:space="preserve">una serie </w:t>
      </w:r>
      <w:proofErr w:type="gramStart"/>
      <w:r w:rsidR="00592735">
        <w:rPr>
          <w:sz w:val="24"/>
          <w:lang w:val="it-IT"/>
        </w:rPr>
        <w:t>di</w:t>
      </w:r>
      <w:r w:rsidR="00592735" w:rsidRPr="00260D14">
        <w:rPr>
          <w:sz w:val="24"/>
          <w:lang w:val="it-IT"/>
        </w:rPr>
        <w:t xml:space="preserve"> </w:t>
      </w:r>
      <w:proofErr w:type="gramEnd"/>
      <w:r w:rsidRPr="00260D14">
        <w:rPr>
          <w:sz w:val="24"/>
          <w:lang w:val="it-IT"/>
        </w:rPr>
        <w:t xml:space="preserve">interviste ad attori chiave condotte sulla base di ricerche documentali che hanno fornito una vasta scala di risorse informative (es. database on-line, statistiche governative, report nazionali, documenti pubblicati, articoli di ricerca ecc.). Inoltre, la Metodologia </w:t>
      </w:r>
      <w:r w:rsidR="00592735">
        <w:rPr>
          <w:sz w:val="24"/>
          <w:lang w:val="it-IT"/>
        </w:rPr>
        <w:t>fornisce</w:t>
      </w:r>
      <w:r w:rsidR="00592735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 xml:space="preserve">un’analisi del </w:t>
      </w:r>
      <w:proofErr w:type="gramStart"/>
      <w:r w:rsidRPr="00260D14">
        <w:rPr>
          <w:sz w:val="24"/>
          <w:lang w:val="it-IT"/>
        </w:rPr>
        <w:t>contesto</w:t>
      </w:r>
      <w:proofErr w:type="gramEnd"/>
      <w:r w:rsidRPr="00260D14">
        <w:rPr>
          <w:sz w:val="24"/>
          <w:lang w:val="it-IT"/>
        </w:rPr>
        <w:t xml:space="preserve"> legislativo, delle linee guida ufficiali e dei riferimenti scientifici dei paesi partner. </w:t>
      </w:r>
    </w:p>
    <w:p w:rsidR="00EC08E6" w:rsidRPr="00260D14" w:rsidRDefault="009E27AA">
      <w:pPr>
        <w:pStyle w:val="Normale1"/>
        <w:spacing w:before="60" w:after="60" w:line="240" w:lineRule="auto"/>
        <w:jc w:val="both"/>
        <w:rPr>
          <w:rFonts w:eastAsia="Arial" w:cs="Arial"/>
          <w:sz w:val="24"/>
          <w:lang w:val="it-IT"/>
        </w:rPr>
      </w:pPr>
      <w:r w:rsidRPr="00260D14">
        <w:rPr>
          <w:i/>
          <w:sz w:val="24"/>
          <w:lang w:val="it-IT"/>
        </w:rPr>
        <w:t>Capitolo</w:t>
      </w:r>
      <w:r w:rsidR="00842BC7" w:rsidRPr="00260D14">
        <w:rPr>
          <w:i/>
          <w:sz w:val="24"/>
          <w:lang w:val="it-IT"/>
        </w:rPr>
        <w:t xml:space="preserve"> </w:t>
      </w:r>
      <w:proofErr w:type="gramStart"/>
      <w:r w:rsidR="00842BC7" w:rsidRPr="00260D14">
        <w:rPr>
          <w:i/>
          <w:sz w:val="24"/>
          <w:lang w:val="it-IT"/>
        </w:rPr>
        <w:t>2</w:t>
      </w:r>
      <w:proofErr w:type="gramEnd"/>
      <w:r w:rsidR="00842BC7" w:rsidRPr="00260D14">
        <w:rPr>
          <w:sz w:val="24"/>
          <w:lang w:val="it-IT"/>
        </w:rPr>
        <w:t>: “Conte</w:t>
      </w:r>
      <w:r w:rsidRPr="00260D14">
        <w:rPr>
          <w:sz w:val="24"/>
          <w:lang w:val="it-IT"/>
        </w:rPr>
        <w:t xml:space="preserve">sto e Scenario” si divide in quattro sezioni. Nella prima sezione sono presentati i concetti generali </w:t>
      </w:r>
      <w:r w:rsidR="001F01BA" w:rsidRPr="00260D14">
        <w:rPr>
          <w:sz w:val="24"/>
          <w:lang w:val="it-IT"/>
        </w:rPr>
        <w:t xml:space="preserve">relativi alla diagnosi clinica dei disturbi di apprendimento negli adulti. La seconda e la terza sessione riassumono le strategie mondiali </w:t>
      </w:r>
      <w:r w:rsidR="00290C7A" w:rsidRPr="00260D14">
        <w:rPr>
          <w:sz w:val="24"/>
          <w:lang w:val="it-IT"/>
        </w:rPr>
        <w:t xml:space="preserve">ed europee adottate dalle organizzazioni internazionali ed </w:t>
      </w:r>
      <w:proofErr w:type="gramStart"/>
      <w:r w:rsidR="00290C7A" w:rsidRPr="00260D14">
        <w:rPr>
          <w:sz w:val="24"/>
          <w:lang w:val="it-IT"/>
        </w:rPr>
        <w:t>europee</w:t>
      </w:r>
      <w:proofErr w:type="gramEnd"/>
      <w:r w:rsidR="00290C7A" w:rsidRPr="00260D14">
        <w:rPr>
          <w:sz w:val="24"/>
          <w:lang w:val="it-IT"/>
        </w:rPr>
        <w:t xml:space="preserve"> sull’educazione inclusiva. La quarta sezione riguarda il </w:t>
      </w:r>
      <w:proofErr w:type="gramStart"/>
      <w:r w:rsidR="00290C7A" w:rsidRPr="00260D14">
        <w:rPr>
          <w:sz w:val="24"/>
          <w:lang w:val="it-IT"/>
        </w:rPr>
        <w:t>contesto</w:t>
      </w:r>
      <w:proofErr w:type="gramEnd"/>
      <w:r w:rsidR="00290C7A" w:rsidRPr="00260D14">
        <w:rPr>
          <w:sz w:val="24"/>
          <w:lang w:val="it-IT"/>
        </w:rPr>
        <w:t xml:space="preserve"> legislativo e le linee guida </w:t>
      </w:r>
      <w:r w:rsidR="009E4981">
        <w:rPr>
          <w:sz w:val="24"/>
          <w:lang w:val="it-IT"/>
        </w:rPr>
        <w:t xml:space="preserve">per questo particolare </w:t>
      </w:r>
      <w:r w:rsidR="00290C7A" w:rsidRPr="00260D14">
        <w:rPr>
          <w:sz w:val="24"/>
          <w:lang w:val="it-IT"/>
        </w:rPr>
        <w:t xml:space="preserve"> settore in ogni paese </w:t>
      </w:r>
      <w:r w:rsidR="009E4981">
        <w:rPr>
          <w:sz w:val="24"/>
          <w:lang w:val="it-IT"/>
        </w:rPr>
        <w:t xml:space="preserve">del </w:t>
      </w:r>
      <w:r w:rsidR="00290C7A" w:rsidRPr="00260D14">
        <w:rPr>
          <w:sz w:val="24"/>
          <w:lang w:val="it-IT"/>
        </w:rPr>
        <w:lastRenderedPageBreak/>
        <w:t>part</w:t>
      </w:r>
      <w:r w:rsidR="009E4981">
        <w:rPr>
          <w:sz w:val="24"/>
          <w:lang w:val="it-IT"/>
        </w:rPr>
        <w:t>enariato</w:t>
      </w:r>
      <w:r w:rsidR="00290C7A" w:rsidRPr="00260D14">
        <w:rPr>
          <w:sz w:val="24"/>
          <w:lang w:val="it-IT"/>
        </w:rPr>
        <w:t xml:space="preserve"> (</w:t>
      </w:r>
      <w:r w:rsidR="00290C7A" w:rsidRPr="00260D14">
        <w:rPr>
          <w:rFonts w:eastAsia="Arial" w:cs="Arial"/>
          <w:sz w:val="24"/>
          <w:lang w:val="it-IT"/>
        </w:rPr>
        <w:t xml:space="preserve">Bulgaria, Grecia, Italia, Spagna, Svezia). Il capitolo contiene inoltre una lista di riferimenti </w:t>
      </w:r>
      <w:proofErr w:type="gramStart"/>
      <w:r w:rsidR="006F3DA4">
        <w:rPr>
          <w:rFonts w:eastAsia="Arial" w:cs="Arial"/>
          <w:sz w:val="24"/>
          <w:lang w:val="it-IT"/>
        </w:rPr>
        <w:t>ad</w:t>
      </w:r>
      <w:proofErr w:type="gramEnd"/>
      <w:r w:rsidR="009E4981" w:rsidRPr="00260D14">
        <w:rPr>
          <w:rFonts w:eastAsia="Arial" w:cs="Arial"/>
          <w:sz w:val="24"/>
          <w:lang w:val="it-IT"/>
        </w:rPr>
        <w:t xml:space="preserve"> </w:t>
      </w:r>
      <w:r w:rsidR="00290C7A" w:rsidRPr="00260D14">
        <w:rPr>
          <w:rFonts w:eastAsia="Arial" w:cs="Arial"/>
          <w:sz w:val="24"/>
          <w:lang w:val="it-IT"/>
        </w:rPr>
        <w:t>importanti fonti</w:t>
      </w:r>
      <w:r w:rsidR="00EC08E6" w:rsidRPr="00260D14">
        <w:rPr>
          <w:rFonts w:eastAsia="Arial" w:cs="Arial"/>
          <w:sz w:val="24"/>
          <w:lang w:val="it-IT"/>
        </w:rPr>
        <w:t xml:space="preserve"> in</w:t>
      </w:r>
      <w:r w:rsidR="00290C7A" w:rsidRPr="00260D14">
        <w:rPr>
          <w:rFonts w:eastAsia="Arial" w:cs="Arial"/>
          <w:sz w:val="24"/>
          <w:lang w:val="it-IT"/>
        </w:rPr>
        <w:t xml:space="preserve">formative.  </w:t>
      </w:r>
      <w:r w:rsidR="00290C7A" w:rsidRPr="00260D14">
        <w:rPr>
          <w:sz w:val="24"/>
          <w:lang w:val="it-IT"/>
        </w:rPr>
        <w:t xml:space="preserve"> </w:t>
      </w:r>
    </w:p>
    <w:p w:rsidR="00954645" w:rsidRPr="00397A28" w:rsidRDefault="00EC08E6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i/>
          <w:sz w:val="24"/>
          <w:lang w:val="it-IT"/>
        </w:rPr>
        <w:t>Capitolo</w:t>
      </w:r>
      <w:r w:rsidR="00842BC7" w:rsidRPr="00260D14">
        <w:rPr>
          <w:i/>
          <w:sz w:val="24"/>
          <w:lang w:val="it-IT"/>
        </w:rPr>
        <w:t xml:space="preserve"> </w:t>
      </w:r>
      <w:proofErr w:type="gramStart"/>
      <w:r w:rsidR="00842BC7" w:rsidRPr="00260D14">
        <w:rPr>
          <w:i/>
          <w:sz w:val="24"/>
          <w:lang w:val="it-IT"/>
        </w:rPr>
        <w:t>3</w:t>
      </w:r>
      <w:proofErr w:type="gramEnd"/>
      <w:r w:rsidRPr="00260D14">
        <w:rPr>
          <w:sz w:val="24"/>
          <w:lang w:val="it-IT"/>
        </w:rPr>
        <w:t>: “Selezione di Buone Pra</w:t>
      </w:r>
      <w:r w:rsidR="00842BC7" w:rsidRPr="00260D14">
        <w:rPr>
          <w:sz w:val="24"/>
          <w:lang w:val="it-IT"/>
        </w:rPr>
        <w:t>tic</w:t>
      </w:r>
      <w:r w:rsidRPr="00260D14">
        <w:rPr>
          <w:sz w:val="24"/>
          <w:lang w:val="it-IT"/>
        </w:rPr>
        <w:t>h</w:t>
      </w:r>
      <w:r w:rsidR="00842BC7" w:rsidRPr="00260D14">
        <w:rPr>
          <w:sz w:val="24"/>
          <w:lang w:val="it-IT"/>
        </w:rPr>
        <w:t>e”</w:t>
      </w:r>
      <w:r w:rsidR="00E97BBC" w:rsidRPr="00260D14">
        <w:rPr>
          <w:sz w:val="24"/>
          <w:lang w:val="it-IT"/>
        </w:rPr>
        <w:t xml:space="preserve"> </w:t>
      </w:r>
      <w:r w:rsidR="00954645" w:rsidRPr="00260D14">
        <w:rPr>
          <w:sz w:val="24"/>
          <w:lang w:val="it-IT"/>
        </w:rPr>
        <w:t xml:space="preserve">si struttura in due sezioni principali: la presentazione delle linee guida per l’inclusione di studenti adulti con disturbi di apprendimento e </w:t>
      </w:r>
      <w:r w:rsidR="006F3DA4">
        <w:rPr>
          <w:sz w:val="24"/>
          <w:lang w:val="it-IT"/>
        </w:rPr>
        <w:t>l’introduzione</w:t>
      </w:r>
      <w:r w:rsidR="00954645" w:rsidRPr="00260D14">
        <w:rPr>
          <w:sz w:val="24"/>
          <w:lang w:val="it-IT"/>
        </w:rPr>
        <w:t xml:space="preserve"> di 15 casi studio che forniscono esempi specifici sull’applicazione pratica delle linee guida nazionali. </w:t>
      </w:r>
      <w:r w:rsidR="00954645" w:rsidRPr="00397A28">
        <w:rPr>
          <w:sz w:val="24"/>
          <w:lang w:val="it-IT"/>
        </w:rPr>
        <w:t xml:space="preserve">È inoltre descritto lo Stato dell’Arte in Bulgaria, Grecia, Italia, Spagna e Svezia. </w:t>
      </w:r>
    </w:p>
    <w:p w:rsidR="00954645" w:rsidRPr="00260D14" w:rsidRDefault="00954645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i/>
          <w:sz w:val="24"/>
          <w:lang w:val="it-IT"/>
        </w:rPr>
        <w:t>Capitolo</w:t>
      </w:r>
      <w:r w:rsidR="00842BC7" w:rsidRPr="00260D14">
        <w:rPr>
          <w:i/>
          <w:sz w:val="24"/>
          <w:lang w:val="it-IT"/>
        </w:rPr>
        <w:t xml:space="preserve"> </w:t>
      </w:r>
      <w:proofErr w:type="gramStart"/>
      <w:r w:rsidR="00842BC7" w:rsidRPr="00260D14">
        <w:rPr>
          <w:i/>
          <w:sz w:val="24"/>
          <w:lang w:val="it-IT"/>
        </w:rPr>
        <w:t>4</w:t>
      </w:r>
      <w:proofErr w:type="gramEnd"/>
      <w:r w:rsidR="00842BC7" w:rsidRPr="00260D14">
        <w:rPr>
          <w:sz w:val="24"/>
          <w:lang w:val="it-IT"/>
        </w:rPr>
        <w:t>: “</w:t>
      </w:r>
      <w:r w:rsidR="006F3DA4">
        <w:rPr>
          <w:sz w:val="24"/>
          <w:lang w:val="it-IT"/>
        </w:rPr>
        <w:t>Lacune</w:t>
      </w:r>
      <w:r w:rsidR="006F3DA4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>Emerse</w:t>
      </w:r>
      <w:r w:rsidR="00842BC7" w:rsidRPr="00260D14">
        <w:rPr>
          <w:sz w:val="24"/>
          <w:lang w:val="it-IT"/>
        </w:rPr>
        <w:t xml:space="preserve">” </w:t>
      </w:r>
      <w:r w:rsidRPr="00260D14">
        <w:rPr>
          <w:sz w:val="24"/>
          <w:lang w:val="it-IT"/>
        </w:rPr>
        <w:t xml:space="preserve">sintetizza </w:t>
      </w:r>
      <w:r w:rsidR="009E4981">
        <w:rPr>
          <w:sz w:val="24"/>
          <w:lang w:val="it-IT"/>
        </w:rPr>
        <w:t>i punti di debolezza</w:t>
      </w:r>
      <w:r w:rsidRPr="00260D14">
        <w:rPr>
          <w:sz w:val="24"/>
          <w:lang w:val="it-IT"/>
        </w:rPr>
        <w:t xml:space="preserve"> e le </w:t>
      </w:r>
      <w:r w:rsidR="006F3DA4">
        <w:rPr>
          <w:sz w:val="24"/>
          <w:lang w:val="it-IT"/>
        </w:rPr>
        <w:t>lacune</w:t>
      </w:r>
      <w:r w:rsidR="006F3DA4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 xml:space="preserve">emerse nel funzionamento del sistema di </w:t>
      </w:r>
      <w:r w:rsidR="009E4981">
        <w:rPr>
          <w:sz w:val="24"/>
          <w:lang w:val="it-IT"/>
        </w:rPr>
        <w:t>istruzione</w:t>
      </w:r>
      <w:r w:rsidR="009E4981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 xml:space="preserve">e formazione professionale su cui è </w:t>
      </w:r>
      <w:proofErr w:type="spellStart"/>
      <w:r w:rsidRPr="00260D14">
        <w:rPr>
          <w:sz w:val="24"/>
          <w:lang w:val="it-IT"/>
        </w:rPr>
        <w:t>necessaria</w:t>
      </w:r>
      <w:r w:rsidR="009E4981">
        <w:rPr>
          <w:sz w:val="24"/>
          <w:lang w:val="it-IT"/>
        </w:rPr>
        <w:t>o</w:t>
      </w:r>
      <w:proofErr w:type="spellEnd"/>
      <w:r w:rsidR="009E4981">
        <w:rPr>
          <w:sz w:val="24"/>
          <w:lang w:val="it-IT"/>
        </w:rPr>
        <w:t xml:space="preserve"> </w:t>
      </w:r>
      <w:proofErr w:type="spellStart"/>
      <w:r w:rsidR="009E4981">
        <w:rPr>
          <w:sz w:val="24"/>
          <w:lang w:val="it-IT"/>
        </w:rPr>
        <w:t>condurre</w:t>
      </w:r>
      <w:r w:rsidRPr="00260D14">
        <w:rPr>
          <w:sz w:val="24"/>
          <w:lang w:val="it-IT"/>
        </w:rPr>
        <w:t>un’analisi</w:t>
      </w:r>
      <w:proofErr w:type="spellEnd"/>
      <w:r w:rsidRPr="00260D14">
        <w:rPr>
          <w:sz w:val="24"/>
          <w:lang w:val="it-IT"/>
        </w:rPr>
        <w:t xml:space="preserve"> approfondita </w:t>
      </w:r>
      <w:r w:rsidR="009E4981">
        <w:rPr>
          <w:sz w:val="24"/>
          <w:lang w:val="it-IT"/>
        </w:rPr>
        <w:t>al fine di</w:t>
      </w:r>
      <w:r w:rsidRPr="00260D14">
        <w:rPr>
          <w:sz w:val="24"/>
          <w:lang w:val="it-IT"/>
        </w:rPr>
        <w:t xml:space="preserve"> </w:t>
      </w:r>
      <w:r w:rsidR="009E4981">
        <w:rPr>
          <w:sz w:val="24"/>
          <w:lang w:val="it-IT"/>
        </w:rPr>
        <w:t>indentificare</w:t>
      </w:r>
      <w:r w:rsidR="009E4981" w:rsidRPr="00260D14">
        <w:rPr>
          <w:sz w:val="24"/>
          <w:lang w:val="it-IT"/>
        </w:rPr>
        <w:t xml:space="preserve"> future </w:t>
      </w:r>
      <w:r w:rsidRPr="00260D14">
        <w:rPr>
          <w:sz w:val="24"/>
          <w:lang w:val="it-IT"/>
        </w:rPr>
        <w:t xml:space="preserve">misure per il </w:t>
      </w:r>
      <w:r w:rsidR="009E4981">
        <w:rPr>
          <w:sz w:val="24"/>
          <w:lang w:val="it-IT"/>
        </w:rPr>
        <w:t xml:space="preserve">loro </w:t>
      </w:r>
      <w:r w:rsidRPr="00260D14">
        <w:rPr>
          <w:sz w:val="24"/>
          <w:lang w:val="it-IT"/>
        </w:rPr>
        <w:t>superamento</w:t>
      </w:r>
      <w:r w:rsidR="009E4981">
        <w:rPr>
          <w:sz w:val="24"/>
          <w:lang w:val="it-IT"/>
        </w:rPr>
        <w:t>.</w:t>
      </w:r>
    </w:p>
    <w:p w:rsidR="00A952A6" w:rsidRPr="00260D14" w:rsidRDefault="00954645">
      <w:pPr>
        <w:pStyle w:val="Normale1"/>
        <w:spacing w:before="60" w:after="60" w:line="240" w:lineRule="auto"/>
        <w:jc w:val="both"/>
        <w:rPr>
          <w:sz w:val="24"/>
          <w:lang w:val="it-IT"/>
        </w:rPr>
      </w:pPr>
      <w:r w:rsidRPr="00260D14">
        <w:rPr>
          <w:sz w:val="24"/>
          <w:lang w:val="it-IT"/>
        </w:rPr>
        <w:t xml:space="preserve">Infine, il </w:t>
      </w:r>
      <w:r w:rsidR="00842BC7" w:rsidRPr="00260D14">
        <w:rPr>
          <w:sz w:val="24"/>
          <w:lang w:val="it-IT"/>
        </w:rPr>
        <w:t>compendi</w:t>
      </w:r>
      <w:r w:rsidRPr="00260D14">
        <w:rPr>
          <w:sz w:val="24"/>
          <w:lang w:val="it-IT"/>
        </w:rPr>
        <w:t xml:space="preserve">o include </w:t>
      </w:r>
      <w:r w:rsidRPr="00260D14">
        <w:rPr>
          <w:i/>
          <w:sz w:val="24"/>
          <w:lang w:val="it-IT"/>
        </w:rPr>
        <w:t>due</w:t>
      </w:r>
      <w:r w:rsidR="00842BC7" w:rsidRPr="00260D14">
        <w:rPr>
          <w:i/>
          <w:sz w:val="24"/>
          <w:lang w:val="it-IT"/>
        </w:rPr>
        <w:t xml:space="preserve"> </w:t>
      </w:r>
      <w:r w:rsidR="009E4981" w:rsidRPr="00260D14">
        <w:rPr>
          <w:i/>
          <w:sz w:val="24"/>
          <w:lang w:val="it-IT"/>
        </w:rPr>
        <w:t>a</w:t>
      </w:r>
      <w:r w:rsidR="009E4981">
        <w:rPr>
          <w:i/>
          <w:sz w:val="24"/>
          <w:lang w:val="it-IT"/>
        </w:rPr>
        <w:t>llegati</w:t>
      </w:r>
      <w:r w:rsidR="00842BC7" w:rsidRPr="00260D14">
        <w:rPr>
          <w:sz w:val="24"/>
          <w:lang w:val="it-IT"/>
        </w:rPr>
        <w:t xml:space="preserve">: </w:t>
      </w:r>
      <w:r w:rsidR="009E4981" w:rsidRPr="00260D14">
        <w:rPr>
          <w:sz w:val="24"/>
          <w:lang w:val="it-IT"/>
        </w:rPr>
        <w:t>l’A</w:t>
      </w:r>
      <w:r w:rsidR="009E4981">
        <w:rPr>
          <w:sz w:val="24"/>
          <w:lang w:val="it-IT"/>
        </w:rPr>
        <w:t>llegato</w:t>
      </w:r>
      <w:r w:rsidR="009E4981" w:rsidRPr="00260D14">
        <w:rPr>
          <w:sz w:val="24"/>
          <w:lang w:val="it-IT"/>
        </w:rPr>
        <w:t xml:space="preserve"> </w:t>
      </w:r>
      <w:proofErr w:type="gramStart"/>
      <w:r w:rsidRPr="00260D14">
        <w:rPr>
          <w:sz w:val="24"/>
          <w:lang w:val="it-IT"/>
        </w:rPr>
        <w:t>1</w:t>
      </w:r>
      <w:proofErr w:type="gramEnd"/>
      <w:r w:rsidRPr="00260D14">
        <w:rPr>
          <w:sz w:val="24"/>
          <w:lang w:val="it-IT"/>
        </w:rPr>
        <w:t xml:space="preserve"> </w:t>
      </w:r>
      <w:r w:rsidR="009E4981">
        <w:rPr>
          <w:sz w:val="24"/>
          <w:lang w:val="it-IT"/>
        </w:rPr>
        <w:t>chiarisce</w:t>
      </w:r>
      <w:r w:rsidR="009E4981" w:rsidRPr="00260D14">
        <w:rPr>
          <w:sz w:val="24"/>
          <w:lang w:val="it-IT"/>
        </w:rPr>
        <w:t xml:space="preserve"> </w:t>
      </w:r>
      <w:r w:rsidRPr="00260D14">
        <w:rPr>
          <w:sz w:val="24"/>
          <w:lang w:val="it-IT"/>
        </w:rPr>
        <w:t>la metodologia e l’approccio adottati per</w:t>
      </w:r>
      <w:r w:rsidR="0089272F" w:rsidRPr="00260D14">
        <w:rPr>
          <w:sz w:val="24"/>
          <w:lang w:val="it-IT"/>
        </w:rPr>
        <w:t xml:space="preserve"> la</w:t>
      </w:r>
      <w:r w:rsidR="00842BC7" w:rsidRPr="00260D14">
        <w:rPr>
          <w:sz w:val="24"/>
          <w:lang w:val="it-IT"/>
        </w:rPr>
        <w:t xml:space="preserve"> </w:t>
      </w:r>
      <w:r w:rsidR="0089272F" w:rsidRPr="00260D14">
        <w:rPr>
          <w:sz w:val="24"/>
          <w:lang w:val="it-IT"/>
        </w:rPr>
        <w:t>selezione delle Buone Pra</w:t>
      </w:r>
      <w:r w:rsidR="00842BC7" w:rsidRPr="00260D14">
        <w:rPr>
          <w:sz w:val="24"/>
          <w:lang w:val="it-IT"/>
        </w:rPr>
        <w:t>tic</w:t>
      </w:r>
      <w:r w:rsidR="0089272F" w:rsidRPr="00260D14">
        <w:rPr>
          <w:sz w:val="24"/>
          <w:lang w:val="it-IT"/>
        </w:rPr>
        <w:t>h</w:t>
      </w:r>
      <w:r w:rsidR="00842BC7" w:rsidRPr="00260D14">
        <w:rPr>
          <w:sz w:val="24"/>
          <w:lang w:val="it-IT"/>
        </w:rPr>
        <w:t>e</w:t>
      </w:r>
      <w:r w:rsidR="0089272F" w:rsidRPr="00260D14">
        <w:rPr>
          <w:sz w:val="24"/>
          <w:lang w:val="it-IT"/>
        </w:rPr>
        <w:t xml:space="preserve"> e comprende anche il modello adottato per </w:t>
      </w:r>
      <w:r w:rsidR="009E4981">
        <w:rPr>
          <w:sz w:val="24"/>
          <w:lang w:val="it-IT"/>
        </w:rPr>
        <w:t>presentare i</w:t>
      </w:r>
      <w:r w:rsidR="0089272F" w:rsidRPr="00260D14">
        <w:rPr>
          <w:sz w:val="24"/>
          <w:lang w:val="it-IT"/>
        </w:rPr>
        <w:t xml:space="preserve"> diversi casi. </w:t>
      </w:r>
      <w:r w:rsidR="009E4981" w:rsidRPr="00397A28">
        <w:rPr>
          <w:sz w:val="24"/>
          <w:lang w:val="it-IT"/>
        </w:rPr>
        <w:t>L’A</w:t>
      </w:r>
      <w:r w:rsidR="009E4981">
        <w:rPr>
          <w:sz w:val="24"/>
          <w:lang w:val="it-IT"/>
        </w:rPr>
        <w:t>llegato</w:t>
      </w:r>
      <w:r w:rsidR="009E4981" w:rsidRPr="00397A28">
        <w:rPr>
          <w:sz w:val="24"/>
          <w:lang w:val="it-IT"/>
        </w:rPr>
        <w:t xml:space="preserve"> </w:t>
      </w:r>
      <w:proofErr w:type="gramStart"/>
      <w:r w:rsidR="0089272F" w:rsidRPr="00397A28">
        <w:rPr>
          <w:sz w:val="24"/>
          <w:lang w:val="it-IT"/>
        </w:rPr>
        <w:t>2</w:t>
      </w:r>
      <w:proofErr w:type="gramEnd"/>
      <w:r w:rsidR="0089272F" w:rsidRPr="00397A28">
        <w:rPr>
          <w:sz w:val="24"/>
          <w:lang w:val="it-IT"/>
        </w:rPr>
        <w:t xml:space="preserve"> r</w:t>
      </w:r>
      <w:r w:rsidR="009E4981">
        <w:rPr>
          <w:sz w:val="24"/>
          <w:lang w:val="it-IT"/>
        </w:rPr>
        <w:t>a</w:t>
      </w:r>
      <w:r w:rsidR="0089272F" w:rsidRPr="00397A28">
        <w:rPr>
          <w:sz w:val="24"/>
          <w:lang w:val="it-IT"/>
        </w:rPr>
        <w:t xml:space="preserve">cchiude i report </w:t>
      </w:r>
      <w:r w:rsidR="009E4981">
        <w:rPr>
          <w:sz w:val="24"/>
          <w:lang w:val="it-IT"/>
        </w:rPr>
        <w:t>di casi completi</w:t>
      </w:r>
      <w:r w:rsidR="0089272F" w:rsidRPr="00397A28">
        <w:rPr>
          <w:sz w:val="24"/>
          <w:lang w:val="it-IT"/>
        </w:rPr>
        <w:t xml:space="preserve">. </w:t>
      </w:r>
    </w:p>
    <w:sectPr w:rsidR="00A952A6" w:rsidRPr="00260D14" w:rsidSect="00A952A6">
      <w:head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F6" w:rsidRDefault="003C4AF6" w:rsidP="00A952A6">
      <w:pPr>
        <w:spacing w:after="0" w:line="240" w:lineRule="auto"/>
      </w:pPr>
      <w:r>
        <w:separator/>
      </w:r>
    </w:p>
  </w:endnote>
  <w:endnote w:type="continuationSeparator" w:id="0">
    <w:p w:rsidR="003C4AF6" w:rsidRDefault="003C4AF6" w:rsidP="00A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F6" w:rsidRDefault="003C4AF6" w:rsidP="00A952A6">
      <w:pPr>
        <w:spacing w:after="0" w:line="240" w:lineRule="auto"/>
      </w:pPr>
      <w:r>
        <w:separator/>
      </w:r>
    </w:p>
  </w:footnote>
  <w:footnote w:type="continuationSeparator" w:id="0">
    <w:p w:rsidR="003C4AF6" w:rsidRDefault="003C4AF6" w:rsidP="00A9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A6" w:rsidRDefault="00A952A6">
    <w:pPr>
      <w:pStyle w:val="Normale1"/>
      <w:widowControl w:val="0"/>
      <w:spacing w:before="709" w:after="0"/>
      <w:rPr>
        <w:sz w:val="24"/>
        <w:szCs w:val="24"/>
      </w:rPr>
    </w:pPr>
  </w:p>
  <w:tbl>
    <w:tblPr>
      <w:tblStyle w:val="a0"/>
      <w:tblW w:w="985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18"/>
      <w:gridCol w:w="236"/>
    </w:tblGrid>
    <w:tr w:rsidR="00A952A6">
      <w:tc>
        <w:tcPr>
          <w:tcW w:w="9632" w:type="dxa"/>
        </w:tcPr>
        <w:p w:rsidR="00A952A6" w:rsidRDefault="00A952A6">
          <w:pPr>
            <w:pStyle w:val="Normale1"/>
            <w:widowControl w:val="0"/>
            <w:spacing w:line="276" w:lineRule="auto"/>
            <w:rPr>
              <w:sz w:val="24"/>
              <w:szCs w:val="24"/>
            </w:rPr>
          </w:pPr>
        </w:p>
        <w:tbl>
          <w:tblPr>
            <w:tblStyle w:val="a"/>
            <w:tblW w:w="10008" w:type="dxa"/>
            <w:tbl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8"/>
            <w:gridCol w:w="5331"/>
            <w:gridCol w:w="2049"/>
          </w:tblGrid>
          <w:tr w:rsidR="00A952A6">
            <w:trPr>
              <w:trHeight w:val="740"/>
            </w:trPr>
            <w:tc>
              <w:tcPr>
                <w:tcW w:w="2628" w:type="dxa"/>
              </w:tcPr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-46989</wp:posOffset>
                      </wp:positionH>
                      <wp:positionV relativeFrom="paragraph">
                        <wp:posOffset>90170</wp:posOffset>
                      </wp:positionV>
                      <wp:extent cx="1239520" cy="356235"/>
                      <wp:effectExtent l="0" t="0" r="0" b="0"/>
                      <wp:wrapTopAndBottom distT="0" distB="0"/>
                      <wp:docPr id="1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35623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31" w:type="dxa"/>
              </w:tcPr>
              <w:p w:rsidR="00A952A6" w:rsidRDefault="00A952A6">
                <w:pPr>
                  <w:pStyle w:val="Normale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Project No </w:t>
                </w:r>
                <w:r>
                  <w:rPr>
                    <w:b/>
                    <w:sz w:val="22"/>
                    <w:szCs w:val="22"/>
                  </w:rPr>
                  <w:t>2016-1-BG01-KA202-023714</w:t>
                </w:r>
              </w:p>
            </w:tc>
            <w:tc>
              <w:tcPr>
                <w:tcW w:w="2049" w:type="dxa"/>
              </w:tcPr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17500</wp:posOffset>
                      </wp:positionH>
                      <wp:positionV relativeFrom="paragraph">
                        <wp:posOffset>-4419</wp:posOffset>
                      </wp:positionV>
                      <wp:extent cx="574716" cy="451262"/>
                      <wp:effectExtent l="0" t="0" r="0" b="0"/>
                      <wp:wrapTopAndBottom distT="0" distB="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716" cy="45126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A952A6" w:rsidRDefault="00A952A6">
          <w:pPr>
            <w:pStyle w:val="Normale1"/>
            <w:spacing w:before="360"/>
          </w:pPr>
        </w:p>
      </w:tc>
      <w:tc>
        <w:tcPr>
          <w:tcW w:w="222" w:type="dxa"/>
        </w:tcPr>
        <w:p w:rsidR="00A952A6" w:rsidRDefault="00A952A6">
          <w:pPr>
            <w:pStyle w:val="Normale1"/>
            <w:spacing w:before="600"/>
            <w:jc w:val="right"/>
          </w:pPr>
        </w:p>
      </w:tc>
    </w:tr>
  </w:tbl>
  <w:p w:rsidR="00A952A6" w:rsidRDefault="00A952A6">
    <w:pPr>
      <w:pStyle w:val="Normale1"/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6"/>
    <w:rsid w:val="001B5E8E"/>
    <w:rsid w:val="001F01BA"/>
    <w:rsid w:val="00200ED9"/>
    <w:rsid w:val="00260D14"/>
    <w:rsid w:val="002701A3"/>
    <w:rsid w:val="00290C7A"/>
    <w:rsid w:val="00351409"/>
    <w:rsid w:val="00354D43"/>
    <w:rsid w:val="00397A28"/>
    <w:rsid w:val="003A1982"/>
    <w:rsid w:val="003C4AF6"/>
    <w:rsid w:val="00405524"/>
    <w:rsid w:val="004915E1"/>
    <w:rsid w:val="00592735"/>
    <w:rsid w:val="00606085"/>
    <w:rsid w:val="00681B20"/>
    <w:rsid w:val="006F3DA4"/>
    <w:rsid w:val="00842BC7"/>
    <w:rsid w:val="0089272F"/>
    <w:rsid w:val="0091240D"/>
    <w:rsid w:val="00954645"/>
    <w:rsid w:val="0096437A"/>
    <w:rsid w:val="009B30B9"/>
    <w:rsid w:val="009E27AA"/>
    <w:rsid w:val="009E4981"/>
    <w:rsid w:val="00A952A6"/>
    <w:rsid w:val="00D80D68"/>
    <w:rsid w:val="00D83FBE"/>
    <w:rsid w:val="00E97BBC"/>
    <w:rsid w:val="00EC08E6"/>
    <w:rsid w:val="00F8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B20"/>
  </w:style>
  <w:style w:type="paragraph" w:styleId="Titolo1">
    <w:name w:val="heading 1"/>
    <w:basedOn w:val="Normale1"/>
    <w:next w:val="Normale1"/>
    <w:rsid w:val="00A952A6"/>
    <w:pPr>
      <w:keepNext/>
      <w:spacing w:before="480"/>
      <w:ind w:left="720" w:hanging="360"/>
      <w:outlineLvl w:val="0"/>
    </w:pPr>
    <w:rPr>
      <w:rFonts w:ascii="Palatino Linotype" w:eastAsia="Palatino Linotype" w:hAnsi="Palatino Linotype" w:cs="Palatino Linotype"/>
      <w:b/>
      <w:smallCaps/>
      <w:sz w:val="28"/>
      <w:szCs w:val="28"/>
    </w:rPr>
  </w:style>
  <w:style w:type="paragraph" w:styleId="Titolo2">
    <w:name w:val="heading 2"/>
    <w:basedOn w:val="Normale1"/>
    <w:next w:val="Normale1"/>
    <w:rsid w:val="00A952A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1"/>
    <w:next w:val="Normale1"/>
    <w:rsid w:val="00A952A6"/>
    <w:pPr>
      <w:keepNext/>
      <w:keepLines/>
      <w:spacing w:before="240"/>
      <w:ind w:left="1224" w:right="72" w:hanging="432"/>
      <w:outlineLvl w:val="2"/>
    </w:pPr>
    <w:rPr>
      <w:rFonts w:ascii="Times" w:eastAsia="Times" w:hAnsi="Times" w:cs="Times"/>
      <w:b/>
    </w:rPr>
  </w:style>
  <w:style w:type="paragraph" w:styleId="Titolo4">
    <w:name w:val="heading 4"/>
    <w:basedOn w:val="Normale1"/>
    <w:next w:val="Normale1"/>
    <w:rsid w:val="00A952A6"/>
    <w:pPr>
      <w:keepNext/>
      <w:keepLines/>
      <w:spacing w:before="240"/>
      <w:ind w:left="1584" w:right="72" w:hanging="720"/>
      <w:outlineLvl w:val="3"/>
    </w:pPr>
    <w:rPr>
      <w:rFonts w:ascii="Times" w:eastAsia="Times" w:hAnsi="Times" w:cs="Times"/>
      <w:b/>
    </w:rPr>
  </w:style>
  <w:style w:type="paragraph" w:styleId="Titolo5">
    <w:name w:val="heading 5"/>
    <w:basedOn w:val="Normale1"/>
    <w:next w:val="Normale1"/>
    <w:rsid w:val="00A952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95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52A6"/>
  </w:style>
  <w:style w:type="paragraph" w:styleId="Titolo">
    <w:name w:val="Title"/>
    <w:basedOn w:val="Normale1"/>
    <w:next w:val="Normale1"/>
    <w:rsid w:val="00A952A6"/>
    <w:pPr>
      <w:spacing w:after="300" w:line="240" w:lineRule="auto"/>
    </w:pPr>
    <w:rPr>
      <w:smallCaps/>
      <w:sz w:val="52"/>
      <w:szCs w:val="52"/>
    </w:rPr>
  </w:style>
  <w:style w:type="paragraph" w:styleId="Sottotitolo">
    <w:name w:val="Subtitle"/>
    <w:basedOn w:val="Normale1"/>
    <w:next w:val="Normale1"/>
    <w:rsid w:val="00A95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2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2A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2A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B20"/>
  </w:style>
  <w:style w:type="paragraph" w:styleId="Titolo1">
    <w:name w:val="heading 1"/>
    <w:basedOn w:val="Normale1"/>
    <w:next w:val="Normale1"/>
    <w:rsid w:val="00A952A6"/>
    <w:pPr>
      <w:keepNext/>
      <w:spacing w:before="480"/>
      <w:ind w:left="720" w:hanging="360"/>
      <w:outlineLvl w:val="0"/>
    </w:pPr>
    <w:rPr>
      <w:rFonts w:ascii="Palatino Linotype" w:eastAsia="Palatino Linotype" w:hAnsi="Palatino Linotype" w:cs="Palatino Linotype"/>
      <w:b/>
      <w:smallCaps/>
      <w:sz w:val="28"/>
      <w:szCs w:val="28"/>
    </w:rPr>
  </w:style>
  <w:style w:type="paragraph" w:styleId="Titolo2">
    <w:name w:val="heading 2"/>
    <w:basedOn w:val="Normale1"/>
    <w:next w:val="Normale1"/>
    <w:rsid w:val="00A952A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1"/>
    <w:next w:val="Normale1"/>
    <w:rsid w:val="00A952A6"/>
    <w:pPr>
      <w:keepNext/>
      <w:keepLines/>
      <w:spacing w:before="240"/>
      <w:ind w:left="1224" w:right="72" w:hanging="432"/>
      <w:outlineLvl w:val="2"/>
    </w:pPr>
    <w:rPr>
      <w:rFonts w:ascii="Times" w:eastAsia="Times" w:hAnsi="Times" w:cs="Times"/>
      <w:b/>
    </w:rPr>
  </w:style>
  <w:style w:type="paragraph" w:styleId="Titolo4">
    <w:name w:val="heading 4"/>
    <w:basedOn w:val="Normale1"/>
    <w:next w:val="Normale1"/>
    <w:rsid w:val="00A952A6"/>
    <w:pPr>
      <w:keepNext/>
      <w:keepLines/>
      <w:spacing w:before="240"/>
      <w:ind w:left="1584" w:right="72" w:hanging="720"/>
      <w:outlineLvl w:val="3"/>
    </w:pPr>
    <w:rPr>
      <w:rFonts w:ascii="Times" w:eastAsia="Times" w:hAnsi="Times" w:cs="Times"/>
      <w:b/>
    </w:rPr>
  </w:style>
  <w:style w:type="paragraph" w:styleId="Titolo5">
    <w:name w:val="heading 5"/>
    <w:basedOn w:val="Normale1"/>
    <w:next w:val="Normale1"/>
    <w:rsid w:val="00A952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95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52A6"/>
  </w:style>
  <w:style w:type="paragraph" w:styleId="Titolo">
    <w:name w:val="Title"/>
    <w:basedOn w:val="Normale1"/>
    <w:next w:val="Normale1"/>
    <w:rsid w:val="00A952A6"/>
    <w:pPr>
      <w:spacing w:after="300" w:line="240" w:lineRule="auto"/>
    </w:pPr>
    <w:rPr>
      <w:smallCaps/>
      <w:sz w:val="52"/>
      <w:szCs w:val="52"/>
    </w:rPr>
  </w:style>
  <w:style w:type="paragraph" w:styleId="Sottotitolo">
    <w:name w:val="Subtitle"/>
    <w:basedOn w:val="Normale1"/>
    <w:next w:val="Normale1"/>
    <w:rsid w:val="00A95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2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2A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2A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 N°10</cp:lastModifiedBy>
  <cp:revision>9</cp:revision>
  <cp:lastPrinted>2017-09-18T10:11:00Z</cp:lastPrinted>
  <dcterms:created xsi:type="dcterms:W3CDTF">2017-09-19T13:50:00Z</dcterms:created>
  <dcterms:modified xsi:type="dcterms:W3CDTF">2017-09-19T14:59:00Z</dcterms:modified>
</cp:coreProperties>
</file>