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A6" w:rsidRDefault="00842BC7">
      <w:pPr>
        <w:pStyle w:val="Normal1"/>
        <w:spacing w:after="12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Resume</w:t>
      </w:r>
      <w:r w:rsidR="009C59A5">
        <w:rPr>
          <w:sz w:val="56"/>
          <w:szCs w:val="56"/>
        </w:rPr>
        <w:t>n</w:t>
      </w:r>
      <w:proofErr w:type="spellEnd"/>
    </w:p>
    <w:p w:rsidR="00A952A6" w:rsidRDefault="00842BC7">
      <w:pPr>
        <w:pStyle w:val="Normal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on</w:t>
      </w:r>
    </w:p>
    <w:p w:rsidR="00A952A6" w:rsidRDefault="00842BC7">
      <w:pPr>
        <w:pStyle w:val="Ttulo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Compendium of Good Practices:</w:t>
      </w:r>
    </w:p>
    <w:p w:rsidR="00A952A6" w:rsidRPr="009C59A5" w:rsidRDefault="00842BC7" w:rsidP="009C59A5">
      <w:pPr>
        <w:pStyle w:val="Ttulo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Vocational Training for ADHD Learners</w:t>
      </w:r>
    </w:p>
    <w:p w:rsidR="008D3804" w:rsidRDefault="009C59A5" w:rsidP="008D3804">
      <w:pPr>
        <w:pStyle w:val="HTMLconformatoprevio"/>
        <w:shd w:val="clear" w:color="auto" w:fill="FFFFFF"/>
        <w:jc w:val="both"/>
        <w:rPr>
          <w:rFonts w:ascii="inherit" w:hAnsi="inherit"/>
          <w:color w:val="212121"/>
          <w:lang w:val="es-ES"/>
        </w:rPr>
      </w:pPr>
      <w:r w:rsidRPr="009C59A5">
        <w:br/>
      </w:r>
      <w:r w:rsidRPr="009C59A5">
        <w:rPr>
          <w:rFonts w:ascii="inherit" w:hAnsi="inherit"/>
          <w:color w:val="212121"/>
          <w:lang w:val="es-ES"/>
        </w:rPr>
        <w:t>Este informe se desarrolla en el marco del proyecto Q4ADHD - Garantía de la calidad en la educación y la formación profesionales para los estudiantes con trastorno de déficit de atención con hiperactividad (TDAH) - financiado por el Programa Erasmus + de la UE.</w:t>
      </w:r>
    </w:p>
    <w:p w:rsidR="008D3804" w:rsidRPr="009C59A5" w:rsidRDefault="009C59A5" w:rsidP="008D3804">
      <w:pPr>
        <w:pStyle w:val="HTMLconformatoprevio"/>
        <w:shd w:val="clear" w:color="auto" w:fill="FFFFFF"/>
        <w:jc w:val="both"/>
        <w:rPr>
          <w:rFonts w:ascii="inherit" w:hAnsi="inherit"/>
          <w:color w:val="212121"/>
          <w:lang w:val="es-ES"/>
        </w:rPr>
      </w:pPr>
      <w:r w:rsidRPr="009C59A5">
        <w:rPr>
          <w:rFonts w:ascii="inherit" w:hAnsi="inherit"/>
          <w:color w:val="212121"/>
          <w:lang w:val="es-ES"/>
        </w:rPr>
        <w:t xml:space="preserve">Este es el primer Compendio de Buenas Prácticas en el ámbito de la Garantía Europea de Calidad en la Formación Profesional (EQAVET) en la </w:t>
      </w:r>
      <w:r w:rsidR="00205FF6">
        <w:rPr>
          <w:rFonts w:ascii="inherit" w:hAnsi="inherit"/>
          <w:color w:val="212121"/>
          <w:lang w:val="es-ES"/>
        </w:rPr>
        <w:t xml:space="preserve">certificación </w:t>
      </w:r>
      <w:r w:rsidR="008D3804">
        <w:rPr>
          <w:rFonts w:ascii="inherit" w:hAnsi="inherit"/>
          <w:color w:val="212121"/>
          <w:lang w:val="es-ES"/>
        </w:rPr>
        <w:t xml:space="preserve">profesional </w:t>
      </w:r>
      <w:proofErr w:type="gramStart"/>
      <w:r w:rsidR="008D3804">
        <w:rPr>
          <w:rFonts w:ascii="inherit" w:hAnsi="inherit"/>
          <w:color w:val="212121"/>
          <w:lang w:val="es-ES"/>
        </w:rPr>
        <w:t>y</w:t>
      </w:r>
      <w:r w:rsidR="00205FF6">
        <w:rPr>
          <w:rFonts w:ascii="inherit" w:hAnsi="inherit"/>
          <w:color w:val="212121"/>
          <w:lang w:val="es-ES"/>
        </w:rPr>
        <w:t xml:space="preserve">  </w:t>
      </w:r>
      <w:r w:rsidR="008D3804">
        <w:rPr>
          <w:rFonts w:ascii="inherit" w:hAnsi="inherit"/>
          <w:color w:val="212121"/>
          <w:lang w:val="es-ES"/>
        </w:rPr>
        <w:t>en</w:t>
      </w:r>
      <w:proofErr w:type="gramEnd"/>
      <w:r w:rsidR="008D3804">
        <w:rPr>
          <w:rFonts w:ascii="inherit" w:hAnsi="inherit"/>
          <w:color w:val="212121"/>
          <w:lang w:val="es-ES"/>
        </w:rPr>
        <w:t xml:space="preserve"> </w:t>
      </w:r>
      <w:r w:rsidR="00205FF6">
        <w:rPr>
          <w:rFonts w:ascii="inherit" w:hAnsi="inherit"/>
          <w:color w:val="212121"/>
          <w:lang w:val="es-ES"/>
        </w:rPr>
        <w:t xml:space="preserve">la </w:t>
      </w:r>
      <w:r w:rsidRPr="009C59A5">
        <w:rPr>
          <w:rFonts w:ascii="inherit" w:hAnsi="inherit"/>
          <w:color w:val="212121"/>
          <w:lang w:val="es-ES"/>
        </w:rPr>
        <w:t>Educación y Formación Profesional (EFP) para estudiantes con TDAH.</w:t>
      </w:r>
    </w:p>
    <w:p w:rsidR="008D3804" w:rsidRPr="009C59A5" w:rsidRDefault="009C59A5" w:rsidP="008D3804">
      <w:pPr>
        <w:pStyle w:val="HTMLconformatoprevio"/>
        <w:shd w:val="clear" w:color="auto" w:fill="FFFFFF"/>
        <w:jc w:val="both"/>
        <w:rPr>
          <w:rFonts w:ascii="inherit" w:hAnsi="inherit"/>
          <w:color w:val="212121"/>
          <w:lang w:val="es-ES"/>
        </w:rPr>
      </w:pPr>
      <w:r w:rsidRPr="009C59A5">
        <w:rPr>
          <w:rFonts w:ascii="inherit" w:hAnsi="inherit"/>
          <w:color w:val="212121"/>
          <w:lang w:val="es-ES"/>
        </w:rPr>
        <w:t>Su objetivo es destacar ejemplos de buenas prácticas en términos de técnicas, metodologías, enfoques y resultados obtenidos.</w:t>
      </w:r>
    </w:p>
    <w:p w:rsidR="008D3804" w:rsidRDefault="009C59A5" w:rsidP="008D3804">
      <w:pPr>
        <w:pStyle w:val="HTMLconformatoprevio"/>
        <w:shd w:val="clear" w:color="auto" w:fill="FFFFFF"/>
        <w:jc w:val="both"/>
        <w:rPr>
          <w:rFonts w:ascii="inherit" w:hAnsi="inherit"/>
          <w:color w:val="212121"/>
          <w:lang w:val="es-ES"/>
        </w:rPr>
      </w:pPr>
      <w:bookmarkStart w:id="0" w:name="_gjdgxs" w:colFirst="0" w:colLast="0"/>
      <w:bookmarkEnd w:id="0"/>
      <w:r>
        <w:rPr>
          <w:rFonts w:ascii="inherit" w:hAnsi="inherit"/>
          <w:color w:val="212121"/>
          <w:lang w:val="es-ES"/>
        </w:rPr>
        <w:t>La</w:t>
      </w:r>
      <w:r>
        <w:rPr>
          <w:rFonts w:ascii="inherit" w:hAnsi="inherit"/>
          <w:color w:val="212121"/>
          <w:lang w:val="es-ES"/>
        </w:rPr>
        <w:t xml:space="preserve"> investigación se estableció considerando una exploración inicial de las buenas prácticas en educación, y específicamente en la educación de la EFP, dirigiéndose a los estudiantes con TDAH, en los países socios, utilizando Estudios de Casos y Directrices como fuentes de información; y en una segunda fase - la selección de mejores prácticas (entre los hallazgos iniciales de la investigación) y la identificación de lagunas en la literatura actual tuvo lugar.</w:t>
      </w:r>
    </w:p>
    <w:p w:rsidR="00A952A6" w:rsidRPr="008D3804" w:rsidRDefault="00770DB7" w:rsidP="008D3804">
      <w:pPr>
        <w:pStyle w:val="HTMLconformatoprevio"/>
        <w:shd w:val="clear" w:color="auto" w:fill="FFFFFF"/>
        <w:jc w:val="both"/>
        <w:rPr>
          <w:rFonts w:ascii="inherit" w:hAnsi="inherit"/>
          <w:color w:val="212121"/>
          <w:lang w:val="es-ES"/>
        </w:rPr>
      </w:pPr>
      <w:r w:rsidRPr="00205FF6">
        <w:rPr>
          <w:rFonts w:ascii="inherit" w:hAnsi="inherit"/>
          <w:color w:val="212121"/>
          <w:lang w:val="es-ES"/>
        </w:rPr>
        <w:t>Los destinatarios de este c</w:t>
      </w:r>
      <w:r w:rsidRPr="00205FF6">
        <w:rPr>
          <w:rFonts w:ascii="inherit" w:hAnsi="inherit"/>
          <w:color w:val="212121"/>
          <w:lang w:val="es-ES"/>
        </w:rPr>
        <w:t xml:space="preserve">ompendio son </w:t>
      </w:r>
      <w:r w:rsidRPr="00205FF6">
        <w:rPr>
          <w:rFonts w:ascii="inherit" w:hAnsi="inherit"/>
          <w:color w:val="212121"/>
          <w:lang w:val="es-ES"/>
        </w:rPr>
        <w:t>los proveedores de l</w:t>
      </w:r>
      <w:r w:rsidR="00205FF6" w:rsidRPr="00205FF6">
        <w:rPr>
          <w:rFonts w:ascii="inherit" w:hAnsi="inherit"/>
          <w:color w:val="212121"/>
          <w:lang w:val="es-ES"/>
        </w:rPr>
        <w:t>a certificació</w:t>
      </w:r>
      <w:r w:rsidRPr="00205FF6">
        <w:rPr>
          <w:rFonts w:ascii="inherit" w:hAnsi="inherit"/>
          <w:color w:val="212121"/>
          <w:lang w:val="es-ES"/>
        </w:rPr>
        <w:t xml:space="preserve">n profesional a nivel </w:t>
      </w:r>
      <w:r w:rsidR="00205FF6" w:rsidRPr="00205FF6">
        <w:rPr>
          <w:rFonts w:ascii="inherit" w:hAnsi="inherit"/>
          <w:color w:val="212121"/>
          <w:lang w:val="es-ES"/>
        </w:rPr>
        <w:t>europeo</w:t>
      </w:r>
      <w:r w:rsidRPr="00205FF6">
        <w:rPr>
          <w:rFonts w:ascii="inherit" w:hAnsi="inherit"/>
          <w:color w:val="212121"/>
          <w:lang w:val="es-ES"/>
        </w:rPr>
        <w:t>:</w:t>
      </w:r>
      <w:r w:rsidRPr="00205FF6">
        <w:rPr>
          <w:rFonts w:ascii="inherit" w:hAnsi="inherit"/>
          <w:color w:val="212121"/>
          <w:lang w:val="es-ES"/>
        </w:rPr>
        <w:t xml:space="preserve"> proveedores de EFP, asociaciones, padres de estudiantes de </w:t>
      </w:r>
      <w:r w:rsidR="00ED6460">
        <w:rPr>
          <w:rFonts w:ascii="inherit" w:hAnsi="inherit"/>
          <w:color w:val="212121"/>
          <w:lang w:val="es-ES"/>
        </w:rPr>
        <w:t>TDAH</w:t>
      </w:r>
      <w:r w:rsidRPr="00205FF6">
        <w:rPr>
          <w:rFonts w:ascii="inherit" w:hAnsi="inherit"/>
          <w:color w:val="212121"/>
          <w:lang w:val="es-ES"/>
        </w:rPr>
        <w:t>, responsables políticos y empresas.</w:t>
      </w:r>
    </w:p>
    <w:p w:rsidR="00205FF6" w:rsidRPr="00770DB7" w:rsidRDefault="00205FF6">
      <w:pPr>
        <w:pStyle w:val="Normal1"/>
        <w:spacing w:before="60" w:after="60" w:line="240" w:lineRule="auto"/>
        <w:jc w:val="both"/>
        <w:rPr>
          <w:lang w:val="es-ES_tradnl"/>
        </w:rPr>
      </w:pPr>
    </w:p>
    <w:p w:rsidR="00A952A6" w:rsidRPr="00CC21C2" w:rsidRDefault="00205FF6">
      <w:pPr>
        <w:pStyle w:val="Normal1"/>
        <w:spacing w:before="60" w:after="6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</w:pP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Este </w:t>
      </w:r>
      <w:r w:rsidR="00CC21C2"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compendio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se estructura en cuatro </w:t>
      </w:r>
      <w:r w:rsidR="008D3804"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capítulos</w:t>
      </w:r>
      <w:bookmarkStart w:id="1" w:name="_GoBack"/>
      <w:bookmarkEnd w:id="1"/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:</w:t>
      </w:r>
    </w:p>
    <w:p w:rsidR="00ED6460" w:rsidRDefault="00205FF6" w:rsidP="00ED6460">
      <w:pPr>
        <w:pStyle w:val="Normal1"/>
        <w:spacing w:before="60" w:after="6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</w:pP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br/>
        <w:t xml:space="preserve">El Capítulo 1: "Introducción y Metodología" describe los objetivos del proyecto Q4ADHD, la asociación y los 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destinatarios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objetivo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s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del Q4ADHD. La metodología fue desarrollada cooperativamente. Incluye entrevistas con los principales interesados, investigación documental exhaustiva de un amplio rango de fuent</w:t>
      </w:r>
      <w:r w:rsidR="00CC21C2"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es de información (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bases de datos en línea, estadísticas gubernamentales, informes nacionales, documentos publicados, artículos de investigación, etc.). Además, la Metodología proporciona un análisis del marco jurídico, las directrices oficiales y las referencias científicas de los países socios.</w:t>
      </w:r>
    </w:p>
    <w:p w:rsidR="00ED6460" w:rsidRDefault="00CC21C2" w:rsidP="00ED6460">
      <w:pPr>
        <w:pStyle w:val="Normal1"/>
        <w:spacing w:before="60" w:after="6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</w:pPr>
      <w:r w:rsidRPr="00CC21C2">
        <w:rPr>
          <w:lang w:val="es-ES_tradnl"/>
        </w:rPr>
        <w:br/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Capítulo 2: "Contexto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" se divide en cuatro secciones. En la primera sección, se presentan los conceptos generales del diagnóstico clínico de </w:t>
      </w:r>
      <w:r w:rsid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TDAH</w:t>
      </w:r>
      <w:r w:rsidRPr="00CC21C2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en adultos. En la segunda y tercera secciones se resumen las estrategias globales y europeas llevadas a cabo por las organizaciones internacionales y europeas para la educación inclusiva. La cuarta sección contiene los marcos legales y las directrices en este campo en cada uno de los países socios (Bulgaria, Italia, España, Suecia, Grecia). El capítulo también contiene listas de referencias a fuentes de información relevantes.</w:t>
      </w:r>
    </w:p>
    <w:p w:rsidR="00ED6460" w:rsidRDefault="00CC21C2" w:rsidP="00ED6460">
      <w:pPr>
        <w:pStyle w:val="Normal1"/>
        <w:spacing w:before="60" w:after="6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</w:pPr>
      <w:r w:rsidRPr="00CC21C2">
        <w:rPr>
          <w:lang w:val="es-ES_tradnl"/>
        </w:rPr>
        <w:br/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El capítulo 3 "Selección de Buenas Prácticas" </w:t>
      </w:r>
      <w:r w:rsidR="00ED6460"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está dividida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en dos secciones principales: presentación de directrices para la inclusión de estudiantes 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TDAH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adultos y presentación de 15 de casos que dan ejemplos específicos sobre cómo se aplican </w:t>
      </w:r>
      <w:r w:rsidR="00ED6460"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en la práctica 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las directrices generales </w:t>
      </w:r>
      <w:r w:rsidR="00ED6460"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en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los </w:t>
      </w:r>
      <w:r w:rsidR="00ED6460"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diferentes 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países. Se describe </w:t>
      </w:r>
      <w:r w:rsidR="00ED6460"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la situación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actual en Bulgaria, Italia, España, Suecia y Grecia</w:t>
      </w:r>
      <w:r w:rsidRPr="00ED6460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.</w:t>
      </w:r>
    </w:p>
    <w:p w:rsidR="00A952A6" w:rsidRPr="00AD4107" w:rsidRDefault="00AD4107">
      <w:pPr>
        <w:pStyle w:val="Normal1"/>
        <w:spacing w:before="60" w:after="6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r w:rsidRPr="00AD4107">
        <w:rPr>
          <w:lang w:val="es-ES_tradnl"/>
        </w:rPr>
        <w:br/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El capítulo 4 "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Debilidades" resume las debilidades 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descubiertas en el funcionamiento del sistema en las que vale la pena analizar en profundidad y 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así poder planifica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r las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posibles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medidas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para mejorar en el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 xml:space="preserve"> fu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turo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. Por último, el compendio contiene dos anexos: el Anexo 1 define la metodología y el enfoque para la selección de Buenas Prácticas. Contiene también las plantillas utilizadas para definir los casos separados. El anexo 2 contiene los informes completos de los casos</w:t>
      </w:r>
      <w:r w:rsidRPr="00AD4107">
        <w:rPr>
          <w:rFonts w:ascii="inherit" w:eastAsia="Times New Roman" w:hAnsi="inherit" w:cs="Courier New"/>
          <w:color w:val="212121"/>
          <w:sz w:val="20"/>
          <w:szCs w:val="20"/>
          <w:lang w:val="es-ES" w:eastAsia="es-ES_tradnl"/>
        </w:rPr>
        <w:t>.</w:t>
      </w:r>
    </w:p>
    <w:sectPr w:rsidR="00A952A6" w:rsidRPr="00AD4107" w:rsidSect="00A952A6">
      <w:headerReference w:type="default" r:id="rId6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31" w:rsidRDefault="00635E31" w:rsidP="00A952A6">
      <w:pPr>
        <w:spacing w:after="0" w:line="240" w:lineRule="auto"/>
      </w:pPr>
      <w:r>
        <w:separator/>
      </w:r>
    </w:p>
  </w:endnote>
  <w:endnote w:type="continuationSeparator" w:id="0">
    <w:p w:rsidR="00635E31" w:rsidRDefault="00635E31" w:rsidP="00A9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31" w:rsidRDefault="00635E31" w:rsidP="00A952A6">
      <w:pPr>
        <w:spacing w:after="0" w:line="240" w:lineRule="auto"/>
      </w:pPr>
      <w:r>
        <w:separator/>
      </w:r>
    </w:p>
  </w:footnote>
  <w:footnote w:type="continuationSeparator" w:id="0">
    <w:p w:rsidR="00635E31" w:rsidRDefault="00635E31" w:rsidP="00A9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A6" w:rsidRDefault="00A952A6">
    <w:pPr>
      <w:pStyle w:val="Normal1"/>
      <w:widowControl w:val="0"/>
      <w:spacing w:before="709" w:after="0"/>
      <w:rPr>
        <w:sz w:val="24"/>
        <w:szCs w:val="24"/>
      </w:rPr>
    </w:pPr>
  </w:p>
  <w:tbl>
    <w:tblPr>
      <w:tblStyle w:val="a0"/>
      <w:tblW w:w="985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618"/>
      <w:gridCol w:w="236"/>
    </w:tblGrid>
    <w:tr w:rsidR="00A952A6">
      <w:tc>
        <w:tcPr>
          <w:tcW w:w="9632" w:type="dxa"/>
        </w:tcPr>
        <w:p w:rsidR="00A952A6" w:rsidRDefault="00A952A6">
          <w:pPr>
            <w:pStyle w:val="Normal1"/>
            <w:widowControl w:val="0"/>
            <w:spacing w:line="276" w:lineRule="auto"/>
            <w:rPr>
              <w:sz w:val="24"/>
              <w:szCs w:val="24"/>
            </w:rPr>
          </w:pPr>
        </w:p>
        <w:tbl>
          <w:tblPr>
            <w:tblStyle w:val="a"/>
            <w:tblW w:w="10008" w:type="dxa"/>
            <w:tblBorders>
              <w:top w:val="nil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28"/>
            <w:gridCol w:w="5331"/>
            <w:gridCol w:w="2049"/>
          </w:tblGrid>
          <w:tr w:rsidR="00A952A6">
            <w:trPr>
              <w:trHeight w:val="740"/>
            </w:trPr>
            <w:tc>
              <w:tcPr>
                <w:tcW w:w="2628" w:type="dxa"/>
              </w:tcPr>
              <w:p w:rsidR="00A952A6" w:rsidRDefault="00842BC7">
                <w:pPr>
                  <w:pStyle w:val="Normal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-46989</wp:posOffset>
                      </wp:positionH>
                      <wp:positionV relativeFrom="paragraph">
                        <wp:posOffset>90170</wp:posOffset>
                      </wp:positionV>
                      <wp:extent cx="1239520" cy="356235"/>
                      <wp:effectExtent l="0" t="0" r="0" b="0"/>
                      <wp:wrapTopAndBottom distT="0" distB="0"/>
                      <wp:docPr id="1" name="image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9520" cy="35623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331" w:type="dxa"/>
              </w:tcPr>
              <w:p w:rsidR="00A952A6" w:rsidRDefault="00A952A6">
                <w:pPr>
                  <w:pStyle w:val="Normal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</w:p>
              <w:p w:rsidR="00A952A6" w:rsidRDefault="00842BC7">
                <w:pPr>
                  <w:pStyle w:val="Normal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Project No </w:t>
                </w:r>
                <w:r>
                  <w:rPr>
                    <w:b/>
                    <w:sz w:val="22"/>
                    <w:szCs w:val="22"/>
                  </w:rPr>
                  <w:t>2016-1-BG01-KA202-023714</w:t>
                </w:r>
              </w:p>
            </w:tc>
            <w:tc>
              <w:tcPr>
                <w:tcW w:w="2049" w:type="dxa"/>
              </w:tcPr>
              <w:p w:rsidR="00A952A6" w:rsidRDefault="00842BC7">
                <w:pPr>
                  <w:pStyle w:val="Normal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17500</wp:posOffset>
                      </wp:positionH>
                      <wp:positionV relativeFrom="paragraph">
                        <wp:posOffset>-4419</wp:posOffset>
                      </wp:positionV>
                      <wp:extent cx="574716" cy="451262"/>
                      <wp:effectExtent l="0" t="0" r="0" b="0"/>
                      <wp:wrapTopAndBottom distT="0" distB="0"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4716" cy="45126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A952A6" w:rsidRDefault="00A952A6">
          <w:pPr>
            <w:pStyle w:val="Normal1"/>
            <w:spacing w:before="360"/>
          </w:pPr>
        </w:p>
      </w:tc>
      <w:tc>
        <w:tcPr>
          <w:tcW w:w="222" w:type="dxa"/>
        </w:tcPr>
        <w:p w:rsidR="00A952A6" w:rsidRDefault="00A952A6">
          <w:pPr>
            <w:pStyle w:val="Normal1"/>
            <w:spacing w:before="600"/>
            <w:jc w:val="right"/>
          </w:pPr>
        </w:p>
      </w:tc>
    </w:tr>
  </w:tbl>
  <w:p w:rsidR="00A952A6" w:rsidRDefault="00A952A6">
    <w:pPr>
      <w:pStyle w:val="Normal1"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2A6"/>
    <w:rsid w:val="001B5E8E"/>
    <w:rsid w:val="00200ED9"/>
    <w:rsid w:val="00205FF6"/>
    <w:rsid w:val="00351409"/>
    <w:rsid w:val="00354D43"/>
    <w:rsid w:val="003C4AF6"/>
    <w:rsid w:val="00635E31"/>
    <w:rsid w:val="00681B20"/>
    <w:rsid w:val="00770DB7"/>
    <w:rsid w:val="00842BC7"/>
    <w:rsid w:val="008D3804"/>
    <w:rsid w:val="0096437A"/>
    <w:rsid w:val="009C59A5"/>
    <w:rsid w:val="00A952A6"/>
    <w:rsid w:val="00AD4107"/>
    <w:rsid w:val="00CC21C2"/>
    <w:rsid w:val="00D80D68"/>
    <w:rsid w:val="00E97BBC"/>
    <w:rsid w:val="00E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6F45"/>
  <w15:docId w15:val="{8DDD783B-3252-44AF-B0D7-484E16B0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B20"/>
  </w:style>
  <w:style w:type="paragraph" w:styleId="Ttulo1">
    <w:name w:val="heading 1"/>
    <w:basedOn w:val="Normal1"/>
    <w:next w:val="Normal1"/>
    <w:rsid w:val="00A952A6"/>
    <w:pPr>
      <w:keepNext/>
      <w:spacing w:before="480"/>
      <w:ind w:left="720" w:hanging="360"/>
      <w:outlineLvl w:val="0"/>
    </w:pPr>
    <w:rPr>
      <w:rFonts w:ascii="Palatino Linotype" w:eastAsia="Palatino Linotype" w:hAnsi="Palatino Linotype" w:cs="Palatino Linotype"/>
      <w:b/>
      <w:smallCaps/>
      <w:sz w:val="28"/>
      <w:szCs w:val="28"/>
    </w:rPr>
  </w:style>
  <w:style w:type="paragraph" w:styleId="Ttulo2">
    <w:name w:val="heading 2"/>
    <w:basedOn w:val="Normal1"/>
    <w:next w:val="Normal1"/>
    <w:rsid w:val="00A952A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1"/>
    <w:next w:val="Normal1"/>
    <w:rsid w:val="00A952A6"/>
    <w:pPr>
      <w:keepNext/>
      <w:keepLines/>
      <w:spacing w:before="240"/>
      <w:ind w:left="1224" w:right="72" w:hanging="432"/>
      <w:outlineLvl w:val="2"/>
    </w:pPr>
    <w:rPr>
      <w:rFonts w:ascii="Times" w:eastAsia="Times" w:hAnsi="Times" w:cs="Times"/>
      <w:b/>
    </w:rPr>
  </w:style>
  <w:style w:type="paragraph" w:styleId="Ttulo4">
    <w:name w:val="heading 4"/>
    <w:basedOn w:val="Normal1"/>
    <w:next w:val="Normal1"/>
    <w:rsid w:val="00A952A6"/>
    <w:pPr>
      <w:keepNext/>
      <w:keepLines/>
      <w:spacing w:before="240"/>
      <w:ind w:left="1584" w:right="72" w:hanging="720"/>
      <w:outlineLvl w:val="3"/>
    </w:pPr>
    <w:rPr>
      <w:rFonts w:ascii="Times" w:eastAsia="Times" w:hAnsi="Times" w:cs="Times"/>
      <w:b/>
    </w:rPr>
  </w:style>
  <w:style w:type="paragraph" w:styleId="Ttulo5">
    <w:name w:val="heading 5"/>
    <w:basedOn w:val="Normal1"/>
    <w:next w:val="Normal1"/>
    <w:rsid w:val="00A952A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952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952A6"/>
  </w:style>
  <w:style w:type="paragraph" w:styleId="Ttulo">
    <w:name w:val="Title"/>
    <w:basedOn w:val="Normal1"/>
    <w:next w:val="Normal1"/>
    <w:rsid w:val="00A952A6"/>
    <w:pPr>
      <w:spacing w:after="300" w:line="240" w:lineRule="auto"/>
    </w:pPr>
    <w:rPr>
      <w:smallCaps/>
      <w:sz w:val="52"/>
      <w:szCs w:val="52"/>
    </w:rPr>
  </w:style>
  <w:style w:type="paragraph" w:styleId="Subttulo">
    <w:name w:val="Subtitle"/>
    <w:basedOn w:val="Normal1"/>
    <w:next w:val="Normal1"/>
    <w:rsid w:val="00A95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anormal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2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2A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2A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BBC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C59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C59A5"/>
    <w:rPr>
      <w:rFonts w:ascii="Courier New" w:eastAsia="Times New Roman" w:hAnsi="Courier New" w:cs="Courier New"/>
      <w:color w:val="auto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Llorca</cp:lastModifiedBy>
  <cp:revision>2</cp:revision>
  <dcterms:created xsi:type="dcterms:W3CDTF">2017-09-17T09:21:00Z</dcterms:created>
  <dcterms:modified xsi:type="dcterms:W3CDTF">2017-09-17T09:21:00Z</dcterms:modified>
</cp:coreProperties>
</file>