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40"/>
        </w:rPr>
      </w:pPr>
      <w:r>
        <w:rPr>
          <w:b/>
          <w:sz w:val="40"/>
        </w:rPr>
        <w:t>Συνοπτική παρουσίαση</w:t>
      </w:r>
    </w:p>
    <w:p>
      <w:pPr>
        <w:pStyle w:val="Normal"/>
        <w:spacing w:lineRule="auto" w:line="240"/>
        <w:rPr/>
      </w:pPr>
      <w:bookmarkStart w:id="0" w:name="_Toc510793718"/>
      <w:bookmarkStart w:id="1" w:name="_Toc510793718"/>
      <w:bookmarkEnd w:id="1"/>
      <w:r>
        <w:rPr/>
      </w:r>
    </w:p>
    <w:p>
      <w:pPr>
        <w:pStyle w:val="Normal"/>
        <w:spacing w:lineRule="auto" w:line="240"/>
        <w:rPr/>
      </w:pPr>
      <w:r>
        <w:rPr/>
        <w:t xml:space="preserve">Ο </w:t>
      </w:r>
      <w:r>
        <w:rPr/>
        <w:t>Οδηγός</w:t>
      </w:r>
      <w:r>
        <w:rPr/>
        <w:t xml:space="preserve"> </w:t>
      </w:r>
      <w:r>
        <w:rPr/>
        <w:t>Δ</w:t>
      </w:r>
      <w:r>
        <w:rPr/>
        <w:t xml:space="preserve">ιασφάλισης </w:t>
      </w:r>
      <w:r>
        <w:rPr/>
        <w:t>Π</w:t>
      </w:r>
      <w:r>
        <w:rPr/>
        <w:t>οιότητας αποσκοπ</w:t>
      </w:r>
      <w:r>
        <w:rPr/>
        <w:t>εί</w:t>
      </w:r>
      <w:bookmarkStart w:id="2" w:name="_GoBack"/>
      <w:bookmarkEnd w:id="2"/>
      <w:r>
        <w:rPr/>
        <w:t xml:space="preserve"> στην ενίσχυση των συστημάτων διασφάλισης ποιότητας για τη μεταφορά πολιτικών, διαδικασιών και προτάσεων επαγγελματικής εκπαίδευσης και κατάρτισης (ΕΕΚ) με σκοπό την υποστήριξη της παροχής εκπαίδευσης χωρίς αποκλεισμούς σε σχολεία ΕΕΚ για τους μαθητές με ειδικές εκπαιδευτικές ανάγκες (ΕΕΑ), και κυρίως με Διαταραχή Ελλειμματικής Προσοχής και Υπερκινητικότητας (ΔΕΠΥ). </w:t>
        <w:br/>
      </w:r>
    </w:p>
    <w:p>
      <w:pPr>
        <w:pStyle w:val="Normal"/>
        <w:spacing w:lineRule="auto" w:line="240"/>
        <w:rPr/>
      </w:pPr>
      <w:r>
        <w:rPr/>
        <w:t xml:space="preserve">Ειδικότερα, ο </w:t>
      </w:r>
      <w:r>
        <w:rPr/>
        <w:t xml:space="preserve">Οδηγός </w:t>
      </w:r>
      <w:r>
        <w:rPr/>
        <w:t>στοχεύ</w:t>
      </w:r>
      <w:r>
        <w:rPr/>
        <w:t>ει</w:t>
      </w:r>
      <w:r>
        <w:rPr/>
        <w:t>:</w:t>
        <w:br/>
        <w:br/>
        <w:t>-στην παροχή στήριξης στα ιδρύματα ΕΕΚ για τη δημιουργία ενός καινοτόμου και ευέλικτου μαθησιακού περιβάλλοντος μέσω της διεύρυνσης της εκπαιδευτικής τους προσφοράς σε μαθητές με ΕΕΑ και ειδικά με ΔΕΠΥ,</w:t>
        <w:br/>
        <w:br/>
        <w:t xml:space="preserve">-στην ενίσχυση της συμμετοχής, της ενασχόλησης και </w:t>
      </w:r>
      <w:r>
        <w:rPr/>
        <w:t>την παραγωγή</w:t>
      </w:r>
      <w:r>
        <w:rPr/>
        <w:t xml:space="preserve"> επιτευγμάτων των μαθητών με ΔΕΠΥ,</w:t>
        <w:br/>
        <w:br/>
        <w:t>-στην ενίσχυση της ποιότητας της στήριξης που παρέχεται στους μαθητές με ΔΕΠΥ και στις οικογένειές τους, ειδικά κατά τη διάρκεια μεταβατικών περιόδων και δύσκολων στιγμών,</w:t>
        <w:br/>
        <w:br/>
        <w:t>-στην προώθηση ενός πνεύματος συνεργασίας μεταξύ σχολείων και άλλων εκπαιδευτικών ιδρυμάτων και οργανισμών όσον αφορά την παροχή εκπαιδευτικών υπηρεσιών σε μαθητές με διαφορετικές μαθησιακές ανάγκες,</w:t>
        <w:br/>
        <w:br/>
        <w:t>-στη δημιουργία υποστηρικτικού περιβάλλοντος στο οποίο οι μαθητές μπορούν να εξελιχθούν και να μάθουν,</w:t>
        <w:br/>
        <w:br/>
        <w:t xml:space="preserve">-στην ενίσχυση μιας θετικής πνευματικής, κοινωνικής και συναισθηματικής ευημερίας του </w:t>
      </w:r>
      <w:r>
        <w:rPr/>
        <w:t xml:space="preserve">εκπαιδευτικού </w:t>
      </w:r>
      <w:r>
        <w:rPr/>
        <w:t xml:space="preserve">προσωπικού των σχολείων και των μαθητών, εστιάζοντας στους </w:t>
      </w:r>
      <w:r>
        <w:rPr/>
        <w:t>μαθητές</w:t>
      </w:r>
      <w:r>
        <w:rPr/>
        <w:t xml:space="preserve"> με ΕΕΑ. </w:t>
      </w:r>
    </w:p>
    <w:p>
      <w:pPr>
        <w:pStyle w:val="Normal"/>
        <w:spacing w:lineRule="auto" w:line="240"/>
        <w:rPr/>
      </w:pPr>
      <w:r>
        <w:rPr/>
        <w:t xml:space="preserve">Ο </w:t>
      </w:r>
      <w:r>
        <w:rPr/>
        <w:t>Οδηγός</w:t>
      </w:r>
      <w:r>
        <w:rPr/>
        <w:t xml:space="preserve"> απευθύν</w:t>
      </w:r>
      <w:r>
        <w:rPr/>
        <w:t>ε</w:t>
      </w:r>
      <w:r>
        <w:rPr/>
        <w:t>ται κατά κύριο λόγο σε ομάδες που δημιουργούνται στο πλαίσιο των σχολείων, όπως: υποδιευθυντές, καθηγητές, εκπαιδευτές, σχολικοί συντονιστές, σύμβουλοι μαθητών, συντονιστές προγρ</w:t>
      </w:r>
      <w:r>
        <w:rPr/>
        <w:t>αμμάτων</w:t>
      </w:r>
      <w:r>
        <w:rPr/>
        <w:t xml:space="preserve"> σπουδών και ειδικοί επαγγελματίες από τον χώρο της εκπαίδευσης. </w:t>
      </w:r>
      <w:r>
        <w:rPr/>
        <w:t xml:space="preserve">Επίσης μπορεί να ενδιαφέρει και </w:t>
      </w:r>
      <w:r>
        <w:rPr/>
        <w:t>άλλους επαγγελματίες από τον χώρο της εκπαίδευσης, των κοινωνικών υπηρεσιών, των κοινοτήτων ιατροφαρμακευτικής περίθαλψης, προς τους γονείς και το κοινό γενικά.</w:t>
      </w:r>
    </w:p>
    <w:p>
      <w:pPr>
        <w:pStyle w:val="Normal"/>
        <w:spacing w:lineRule="auto" w:line="240"/>
        <w:rPr/>
      </w:pPr>
      <w:r>
        <w:rPr/>
      </w:r>
    </w:p>
    <w:p>
      <w:pPr>
        <w:pStyle w:val="Normal"/>
        <w:spacing w:lineRule="auto" w:line="240"/>
        <w:rPr/>
      </w:pPr>
      <w:r>
        <w:rPr/>
        <w:t xml:space="preserve">Ο </w:t>
      </w:r>
      <w:r>
        <w:rPr/>
        <w:t>Οδηγός</w:t>
      </w:r>
      <w:r>
        <w:rPr/>
        <w:t xml:space="preserve"> </w:t>
      </w:r>
      <w:r>
        <w:rPr/>
        <w:t>Δ</w:t>
      </w:r>
      <w:r>
        <w:rPr/>
        <w:t xml:space="preserve">ιασφάλισης </w:t>
      </w:r>
      <w:r>
        <w:rPr/>
        <w:t>Π</w:t>
      </w:r>
      <w:r>
        <w:rPr/>
        <w:t>οιότητας αποτελ</w:t>
      </w:r>
      <w:r>
        <w:rPr/>
        <w:t>εί</w:t>
      </w:r>
      <w:r>
        <w:rPr/>
        <w:t>ται από δύο κύριους τομείς:</w:t>
      </w:r>
    </w:p>
    <w:p>
      <w:pPr>
        <w:pStyle w:val="Normal"/>
        <w:spacing w:lineRule="auto" w:line="240"/>
        <w:rPr/>
      </w:pPr>
      <w:r>
        <w:rPr/>
        <w:t xml:space="preserve"> </w:t>
      </w:r>
    </w:p>
    <w:p>
      <w:pPr>
        <w:pStyle w:val="Normal"/>
        <w:spacing w:lineRule="auto" w:line="240"/>
        <w:rPr/>
      </w:pPr>
      <w:bookmarkStart w:id="3" w:name="_Toc510793718"/>
      <w:bookmarkEnd w:id="3"/>
      <w:r>
        <w:rPr>
          <w:b/>
        </w:rPr>
        <w:t>1. Πολιτική</w:t>
      </w:r>
      <w:r>
        <w:rPr/>
        <w:br/>
      </w:r>
      <w:r>
        <w:rPr>
          <w:b/>
        </w:rPr>
        <w:t>2. Εκπαιδευτικές στρατηγικές και πρακτικές</w:t>
      </w:r>
      <w:r>
        <w:rPr/>
        <w:br/>
      </w:r>
    </w:p>
    <w:p>
      <w:pPr>
        <w:pStyle w:val="Normal"/>
        <w:spacing w:lineRule="auto" w:line="240"/>
        <w:rPr/>
      </w:pPr>
      <w:r>
        <w:rPr/>
        <w:t xml:space="preserve">Ο </w:t>
      </w:r>
      <w:r>
        <w:rPr/>
        <w:t>Οδηγός</w:t>
      </w:r>
      <w:r>
        <w:rPr/>
        <w:t xml:space="preserve"> στον </w:t>
      </w:r>
      <w:r>
        <w:rPr>
          <w:b/>
        </w:rPr>
        <w:t>τομέα της Πολιτικής</w:t>
      </w:r>
      <w:r>
        <w:rPr/>
        <w:t xml:space="preserve"> παρέχ</w:t>
      </w:r>
      <w:r>
        <w:rPr/>
        <w:t>ει</w:t>
      </w:r>
      <w:r>
        <w:rPr/>
        <w:t xml:space="preserve"> πρακτικές οδηγίες στα εξής θέματα:</w:t>
      </w:r>
    </w:p>
    <w:p>
      <w:pPr>
        <w:pStyle w:val="ListParagraph"/>
        <w:numPr>
          <w:ilvl w:val="0"/>
          <w:numId w:val="2"/>
        </w:numPr>
        <w:spacing w:lineRule="auto" w:line="240"/>
        <w:rPr>
          <w:rFonts w:ascii="Cambria" w:hAnsi="Cambria"/>
        </w:rPr>
      </w:pPr>
      <w:r>
        <w:rPr>
          <w:rFonts w:ascii="Cambria" w:hAnsi="Cambria"/>
          <w:b/>
        </w:rPr>
        <w:t>Αποστολή και όραμα</w:t>
      </w:r>
      <w:r>
        <w:rPr>
          <w:rFonts w:ascii="Cambria" w:hAnsi="Cambria"/>
        </w:rPr>
        <w:t xml:space="preserve">: </w:t>
      </w:r>
      <w:r>
        <w:rPr>
          <w:rFonts w:ascii="Cambria" w:hAnsi="Cambria"/>
        </w:rPr>
        <w:t>παρέχει</w:t>
      </w:r>
      <w:r>
        <w:rPr>
          <w:rFonts w:ascii="Cambria" w:hAnsi="Cambria"/>
        </w:rPr>
        <w:t xml:space="preserve"> πολιτική για την </w:t>
      </w:r>
      <w:r>
        <w:rPr>
          <w:rFonts w:ascii="Cambria" w:hAnsi="Cambria"/>
        </w:rPr>
        <w:t>δημιουργία</w:t>
      </w:r>
      <w:r>
        <w:rPr>
          <w:rFonts w:ascii="Cambria" w:hAnsi="Cambria"/>
        </w:rPr>
        <w:t xml:space="preserve"> ειδικών εκπαιδευτικών προγραμμάτων και υπηρεσιών </w:t>
      </w:r>
    </w:p>
    <w:p>
      <w:pPr>
        <w:pStyle w:val="ListParagraph"/>
        <w:numPr>
          <w:ilvl w:val="0"/>
          <w:numId w:val="2"/>
        </w:numPr>
        <w:spacing w:lineRule="auto" w:line="240"/>
        <w:rPr>
          <w:rFonts w:ascii="Cambria" w:hAnsi="Cambria"/>
        </w:rPr>
      </w:pPr>
      <w:r>
        <w:rPr>
          <w:rFonts w:ascii="Cambria" w:hAnsi="Cambria"/>
          <w:b/>
        </w:rPr>
        <w:t>Ρόλοι και ευθύνες</w:t>
      </w:r>
      <w:r>
        <w:rPr>
          <w:rFonts w:ascii="Cambria" w:hAnsi="Cambria"/>
        </w:rPr>
        <w:t xml:space="preserve">: περιγράφουν συνοπτικά τους ρόλους και τις ευθύνες των σχολικών συμβουλίων, της περιφέρειας, του σχολικού προσωπικού, των γονιών και των μαθητών στην ανάπτυξη και στην υλοποίηση ειδικών εκπαιδευτικών παροχών. </w:t>
      </w:r>
    </w:p>
    <w:p>
      <w:pPr>
        <w:pStyle w:val="ListParagraph"/>
        <w:numPr>
          <w:ilvl w:val="0"/>
          <w:numId w:val="2"/>
        </w:numPr>
        <w:spacing w:lineRule="auto" w:line="240"/>
        <w:rPr>
          <w:rFonts w:ascii="Cambria" w:hAnsi="Cambria"/>
        </w:rPr>
      </w:pPr>
      <w:r>
        <w:rPr>
          <w:rFonts w:ascii="Cambria" w:hAnsi="Cambria"/>
          <w:b/>
        </w:rPr>
        <w:t>Εξατομικευμένο Εκπαιδευτικό Πρόγραμμα (ΕΕΠ)</w:t>
      </w:r>
      <w:r>
        <w:rPr>
          <w:rFonts w:ascii="Cambria" w:hAnsi="Cambria"/>
        </w:rPr>
        <w:t>: περιγράφει τ</w:t>
      </w:r>
      <w:r>
        <w:rPr>
          <w:rFonts w:ascii="Cambria" w:hAnsi="Cambria"/>
        </w:rPr>
        <w:t>ις</w:t>
      </w:r>
      <w:r>
        <w:rPr>
          <w:rFonts w:ascii="Cambria" w:hAnsi="Cambria"/>
        </w:rPr>
        <w:t xml:space="preserve"> διαδικασί</w:t>
      </w:r>
      <w:r>
        <w:rPr>
          <w:rFonts w:ascii="Cambria" w:hAnsi="Cambria"/>
        </w:rPr>
        <w:t>ες:</w:t>
      </w:r>
      <w:r>
        <w:rPr>
          <w:rFonts w:ascii="Cambria" w:hAnsi="Cambria"/>
        </w:rPr>
        <w:t xml:space="preserve"> </w:t>
      </w:r>
      <w:r>
        <w:rPr>
          <w:rFonts w:ascii="Cambria" w:hAnsi="Cambria"/>
        </w:rPr>
        <w:t>αναγνώρισης μαθητών με ειδικές ανάγκες</w:t>
      </w:r>
      <w:r>
        <w:rPr>
          <w:rFonts w:ascii="Cambria" w:hAnsi="Cambria"/>
        </w:rPr>
        <w:t xml:space="preserve">, </w:t>
      </w:r>
      <w:r>
        <w:rPr>
          <w:rFonts w:ascii="Cambria" w:hAnsi="Cambria"/>
        </w:rPr>
        <w:t xml:space="preserve">σχεδίασης </w:t>
      </w:r>
      <w:r>
        <w:rPr>
          <w:rFonts w:ascii="Cambria" w:hAnsi="Cambria"/>
        </w:rPr>
        <w:t xml:space="preserve">και </w:t>
      </w:r>
      <w:r>
        <w:rPr>
          <w:rFonts w:ascii="Cambria" w:hAnsi="Cambria"/>
        </w:rPr>
        <w:t xml:space="preserve">εφαρμογής </w:t>
      </w:r>
      <w:r>
        <w:rPr>
          <w:rFonts w:ascii="Cambria" w:hAnsi="Cambria"/>
        </w:rPr>
        <w:t>εξατομικευμέν</w:t>
      </w:r>
      <w:r>
        <w:rPr>
          <w:rFonts w:ascii="Cambria" w:hAnsi="Cambria"/>
        </w:rPr>
        <w:t>ων</w:t>
      </w:r>
      <w:r>
        <w:rPr>
          <w:rFonts w:ascii="Cambria" w:hAnsi="Cambria"/>
        </w:rPr>
        <w:t xml:space="preserve"> προγρ</w:t>
      </w:r>
      <w:r>
        <w:rPr>
          <w:rFonts w:ascii="Cambria" w:hAnsi="Cambria"/>
        </w:rPr>
        <w:t>α</w:t>
      </w:r>
      <w:r>
        <w:rPr>
          <w:rFonts w:ascii="Cambria" w:hAnsi="Cambria"/>
        </w:rPr>
        <w:t>μμ</w:t>
      </w:r>
      <w:r>
        <w:rPr>
          <w:rFonts w:ascii="Cambria" w:hAnsi="Cambria"/>
        </w:rPr>
        <w:t>ά</w:t>
      </w:r>
      <w:r>
        <w:rPr>
          <w:rFonts w:ascii="Cambria" w:hAnsi="Cambria"/>
        </w:rPr>
        <w:t>τ</w:t>
      </w:r>
      <w:r>
        <w:rPr>
          <w:rFonts w:ascii="Cambria" w:hAnsi="Cambria"/>
        </w:rPr>
        <w:t>ων</w:t>
      </w:r>
      <w:r>
        <w:rPr>
          <w:rFonts w:ascii="Cambria" w:hAnsi="Cambria"/>
        </w:rPr>
        <w:t xml:space="preserve"> για αυτούς, </w:t>
      </w:r>
      <w:r>
        <w:rPr>
          <w:rFonts w:ascii="Cambria" w:hAnsi="Cambria"/>
        </w:rPr>
        <w:t xml:space="preserve">αξιολόγησης της προόδου τους καθώς και </w:t>
      </w:r>
      <w:r>
        <w:rPr>
          <w:rFonts w:ascii="Cambria" w:hAnsi="Cambria"/>
        </w:rPr>
        <w:t>καταγρ</w:t>
      </w:r>
      <w:r>
        <w:rPr>
          <w:rFonts w:ascii="Cambria" w:hAnsi="Cambria"/>
        </w:rPr>
        <w:t>αφής αυτής</w:t>
      </w:r>
      <w:r>
        <w:rPr>
          <w:rFonts w:ascii="Cambria" w:hAnsi="Cambria"/>
        </w:rPr>
        <w:t xml:space="preserve">. </w:t>
      </w:r>
    </w:p>
    <w:p>
      <w:pPr>
        <w:pStyle w:val="ListParagraph"/>
        <w:numPr>
          <w:ilvl w:val="0"/>
          <w:numId w:val="2"/>
        </w:numPr>
        <w:spacing w:lineRule="auto" w:line="240"/>
        <w:rPr>
          <w:rFonts w:ascii="Cambria" w:hAnsi="Cambria"/>
        </w:rPr>
      </w:pPr>
      <w:r>
        <w:rPr>
          <w:rFonts w:ascii="Cambria" w:hAnsi="Cambria"/>
          <w:b/>
        </w:rPr>
        <w:t>Ειδικές υπηρεσίες</w:t>
      </w:r>
      <w:r>
        <w:rPr>
          <w:rFonts w:ascii="Cambria" w:hAnsi="Cambria"/>
        </w:rPr>
        <w:t xml:space="preserve">: περιγράφουν υπηρεσίες που θα πρέπει να διατίθενται στα σχολεία </w:t>
      </w:r>
      <w:r>
        <w:rPr>
          <w:rFonts w:ascii="Cambria" w:hAnsi="Cambria"/>
        </w:rPr>
        <w:t xml:space="preserve">προκειμένου να υποστηρίζουν την παροχή </w:t>
      </w:r>
      <w:r>
        <w:rPr>
          <w:rFonts w:ascii="Cambria" w:hAnsi="Cambria"/>
        </w:rPr>
        <w:t xml:space="preserve">υπηρεσιών. </w:t>
      </w:r>
    </w:p>
    <w:p>
      <w:pPr>
        <w:pStyle w:val="Normal"/>
        <w:spacing w:lineRule="auto" w:line="240"/>
        <w:rPr/>
      </w:pPr>
      <w:r>
        <w:rPr/>
      </w:r>
    </w:p>
    <w:p>
      <w:pPr>
        <w:pStyle w:val="Normal"/>
        <w:spacing w:lineRule="auto" w:line="240"/>
        <w:rPr/>
      </w:pPr>
      <w:r>
        <w:rPr/>
        <w:t>Ο Οδηγός</w:t>
      </w:r>
      <w:r>
        <w:rPr/>
        <w:t xml:space="preserve"> στον τομέα των </w:t>
      </w:r>
      <w:r>
        <w:rPr>
          <w:b/>
        </w:rPr>
        <w:t>Εκπαιδευτικών στρατηγικών και πρακτικών</w:t>
      </w:r>
      <w:r>
        <w:rPr/>
        <w:t xml:space="preserve"> προσφέρ</w:t>
      </w:r>
      <w:r>
        <w:rPr/>
        <w:t>ει</w:t>
      </w:r>
      <w:r>
        <w:rPr/>
        <w:t xml:space="preserve"> υποδείξεις σχετικά με:</w:t>
      </w:r>
    </w:p>
    <w:p>
      <w:pPr>
        <w:pStyle w:val="ListParagraph"/>
        <w:numPr>
          <w:ilvl w:val="0"/>
          <w:numId w:val="1"/>
        </w:numPr>
        <w:spacing w:lineRule="auto" w:line="240"/>
        <w:rPr>
          <w:rFonts w:ascii="Cambria" w:hAnsi="Cambria"/>
        </w:rPr>
      </w:pPr>
      <w:r>
        <w:rPr>
          <w:rFonts w:ascii="Cambria" w:hAnsi="Cambria"/>
          <w:b/>
        </w:rPr>
        <w:t xml:space="preserve">Την </w:t>
      </w:r>
      <w:r>
        <w:rPr>
          <w:rFonts w:ascii="Cambria" w:hAnsi="Cambria"/>
          <w:b/>
        </w:rPr>
        <w:t>αναγνώριση</w:t>
      </w:r>
      <w:r>
        <w:rPr>
          <w:rFonts w:ascii="Cambria" w:hAnsi="Cambria"/>
          <w:b/>
        </w:rPr>
        <w:t xml:space="preserve"> μαθητών με ΔΕΠΥ</w:t>
      </w:r>
      <w:r>
        <w:rPr>
          <w:rFonts w:ascii="Cambria" w:hAnsi="Cambria"/>
        </w:rPr>
        <w:t>: απαριθμ</w:t>
      </w:r>
      <w:r>
        <w:rPr>
          <w:rFonts w:ascii="Cambria" w:hAnsi="Cambria"/>
        </w:rPr>
        <w:t>όντας</w:t>
      </w:r>
      <w:r>
        <w:rPr>
          <w:rFonts w:ascii="Cambria" w:hAnsi="Cambria"/>
        </w:rPr>
        <w:t xml:space="preserve"> τις συμπεριφορές που σχετίζονται με τη ΔΕΠΥ </w:t>
      </w:r>
    </w:p>
    <w:p>
      <w:pPr>
        <w:pStyle w:val="ListParagraph"/>
        <w:numPr>
          <w:ilvl w:val="0"/>
          <w:numId w:val="1"/>
        </w:numPr>
        <w:spacing w:lineRule="auto" w:line="240"/>
        <w:rPr>
          <w:rFonts w:ascii="Cambria" w:hAnsi="Cambria"/>
        </w:rPr>
      </w:pPr>
      <w:r>
        <w:rPr>
          <w:rFonts w:ascii="Cambria" w:hAnsi="Cambria"/>
          <w:b/>
        </w:rPr>
        <w:t>Τη στρατηγική για την εκπαίδευση των μαθητών με ΔΕΠΥ</w:t>
      </w:r>
      <w:r>
        <w:rPr>
          <w:rFonts w:ascii="Cambria" w:hAnsi="Cambria"/>
        </w:rPr>
        <w:t xml:space="preserve">: </w:t>
      </w:r>
      <w:r>
        <w:rPr>
          <w:rFonts w:ascii="Cambria" w:hAnsi="Cambria"/>
        </w:rPr>
        <w:t>καθορίζοντας</w:t>
      </w:r>
      <w:r>
        <w:rPr>
          <w:rFonts w:ascii="Cambria" w:hAnsi="Cambria"/>
        </w:rPr>
        <w:t xml:space="preserve"> τους κανόνες και τις οδηγίες για τη διδασκαλία των μαθητών με ΔΕΠΥ σχετικά με τις συμπεριφορικές παρεμβάσεις και τις εγκαταστάσεις των αιθουσών: Ειδική διαρρύθμιση των θέσεων στις τάξεις για τους μαθητές με ΔΕΠΥ</w:t>
      </w:r>
    </w:p>
    <w:p>
      <w:pPr>
        <w:pStyle w:val="ListParagraph"/>
        <w:numPr>
          <w:ilvl w:val="0"/>
          <w:numId w:val="1"/>
        </w:numPr>
        <w:spacing w:lineRule="auto" w:line="240"/>
        <w:rPr>
          <w:rFonts w:ascii="Cambria" w:hAnsi="Cambria"/>
        </w:rPr>
      </w:pPr>
      <w:r>
        <w:rPr>
          <w:rFonts w:ascii="Cambria" w:hAnsi="Cambria"/>
          <w:b/>
        </w:rPr>
        <w:t>Την πρακτική άσκηση στο πλαίσιο της ΕΕΚ</w:t>
      </w:r>
      <w:r>
        <w:rPr>
          <w:rFonts w:ascii="Cambria" w:hAnsi="Cambria"/>
        </w:rPr>
        <w:t>: παρουσιάζ</w:t>
      </w:r>
      <w:r>
        <w:rPr>
          <w:rFonts w:ascii="Cambria" w:hAnsi="Cambria"/>
        </w:rPr>
        <w:t xml:space="preserve">οντας </w:t>
      </w:r>
      <w:r>
        <w:rPr>
          <w:rFonts w:ascii="Cambria" w:hAnsi="Cambria"/>
        </w:rPr>
        <w:t xml:space="preserve">ειδικές διαδικασίες </w:t>
      </w:r>
      <w:r>
        <w:rPr>
          <w:rFonts w:ascii="Cambria" w:hAnsi="Cambria"/>
        </w:rPr>
        <w:t xml:space="preserve">εισαγωγής </w:t>
      </w:r>
      <w:r>
        <w:rPr>
          <w:rFonts w:ascii="Cambria" w:hAnsi="Cambria"/>
        </w:rPr>
        <w:t xml:space="preserve">και στρατηγικές </w:t>
      </w:r>
      <w:r>
        <w:rPr>
          <w:rFonts w:ascii="Cambria" w:hAnsi="Cambria"/>
        </w:rPr>
        <w:t>ώστε</w:t>
      </w:r>
      <w:r>
        <w:rPr>
          <w:rFonts w:ascii="Cambria" w:hAnsi="Cambria"/>
        </w:rPr>
        <w:t xml:space="preserve"> να ενταχθούν οι μαθητές με ΔΕΠΥ που προέρχονται από την επαγγελματική εκπαίδευση και κατάρτιση σε </w:t>
      </w:r>
      <w:r>
        <w:rPr>
          <w:rFonts w:ascii="Cambria" w:hAnsi="Cambria"/>
        </w:rPr>
        <w:t xml:space="preserve">ένα </w:t>
      </w:r>
      <w:r>
        <w:rPr>
          <w:rFonts w:ascii="Cambria" w:hAnsi="Cambria"/>
        </w:rPr>
        <w:t xml:space="preserve">εργασιακό περιβάλλον, </w:t>
      </w:r>
      <w:r>
        <w:rPr>
          <w:rFonts w:ascii="Cambria" w:hAnsi="Cambria"/>
        </w:rPr>
        <w:t>εφαρμόζοντας την</w:t>
      </w:r>
      <w:r>
        <w:rPr>
          <w:rFonts w:ascii="Cambria" w:hAnsi="Cambria"/>
        </w:rPr>
        <w:t xml:space="preserve"> </w:t>
      </w:r>
      <w:r>
        <w:rPr>
          <w:rFonts w:ascii="Cambria" w:hAnsi="Cambria"/>
        </w:rPr>
        <w:t xml:space="preserve">“εκμάθηση </w:t>
      </w:r>
      <w:r>
        <w:rPr>
          <w:rFonts w:ascii="Cambria" w:hAnsi="Cambria"/>
        </w:rPr>
        <w:t xml:space="preserve">στον </w:t>
      </w:r>
      <w:r>
        <w:rPr>
          <w:rFonts w:ascii="Cambria" w:hAnsi="Cambria"/>
        </w:rPr>
        <w:t>εργασ</w:t>
      </w:r>
      <w:r>
        <w:rPr>
          <w:rFonts w:ascii="Cambria" w:hAnsi="Cambria"/>
        </w:rPr>
        <w:t>ιακό χώρο</w:t>
      </w:r>
      <w:r>
        <w:rPr>
          <w:rFonts w:ascii="Cambria" w:hAnsi="Cambria"/>
        </w:rPr>
        <w:t xml:space="preserve">” μέσω </w:t>
      </w:r>
      <w:r>
        <w:rPr>
          <w:rFonts w:ascii="Cambria" w:hAnsi="Cambria"/>
        </w:rPr>
        <w:t xml:space="preserve">της τοποθέτησής τους σε συγκεκριμένες θέσεις και της παροχής </w:t>
      </w:r>
      <w:r>
        <w:rPr>
          <w:rFonts w:ascii="Cambria" w:hAnsi="Cambria"/>
        </w:rPr>
        <w:t>συμβουλ</w:t>
      </w:r>
      <w:r>
        <w:rPr>
          <w:rFonts w:ascii="Cambria" w:hAnsi="Cambria"/>
        </w:rPr>
        <w:t>ών</w:t>
      </w:r>
      <w:r>
        <w:rPr>
          <w:rFonts w:ascii="Cambria" w:hAnsi="Cambria"/>
        </w:rPr>
        <w:t>.</w:t>
      </w:r>
    </w:p>
    <w:p>
      <w:pPr>
        <w:pStyle w:val="Normal"/>
        <w:spacing w:lineRule="auto" w:line="240"/>
        <w:rPr/>
      </w:pPr>
      <w:r>
        <w:rPr/>
        <w:t>Στο τέλος τ</w:t>
      </w:r>
      <w:r>
        <w:rPr/>
        <w:t xml:space="preserve">ου Οδηγού </w:t>
      </w:r>
      <w:r>
        <w:rPr/>
        <w:t xml:space="preserve">και συγκεκριμένα στο </w:t>
      </w:r>
      <w:r>
        <w:rPr>
          <w:b/>
        </w:rPr>
        <w:t>Παράρτημα</w:t>
      </w:r>
      <w:r>
        <w:rPr/>
        <w:t xml:space="preserve"> παρέχονται επιπλέον οδηγίες και μέσα με σκοπό την υποστήριξη του σχολικού προσωπικού στην ανάπτυξη της σχολικής πολιτικής για μια εκπαίδευση χωρίς αποκλεισμούς για τους μαθητές με διαφορετικές μαθησιακές ανάγκες.</w:t>
      </w:r>
    </w:p>
    <w:p>
      <w:pPr>
        <w:pStyle w:val="Normal"/>
        <w:spacing w:lineRule="auto" w:line="240"/>
        <w:rPr/>
      </w:pPr>
      <w:r>
        <w:rPr/>
      </w:r>
    </w:p>
    <w:p>
      <w:pPr>
        <w:pStyle w:val="Normal"/>
        <w:widowControl/>
        <w:pBdr>
          <w:top w:val="nil"/>
          <w:left w:val="nil"/>
          <w:bottom w:val="nil"/>
          <w:right w:val="nil"/>
        </w:pBdr>
        <w:bidi w:val="0"/>
        <w:spacing w:lineRule="auto" w:line="276" w:before="0" w:after="200"/>
        <w:jc w:val="left"/>
        <w:rPr/>
      </w:pPr>
      <w:r>
        <w:rPr/>
      </w:r>
    </w:p>
    <w:sectPr>
      <w:headerReference w:type="default" r:id="rId2"/>
      <w:footerReference w:type="default" r:id="rId3"/>
      <w:type w:val="nextPage"/>
      <w:pgSz w:w="11906" w:h="16838"/>
      <w:pgMar w:left="1134" w:right="1134" w:header="0" w:top="465" w:footer="737" w:bottom="1134" w:gutter="0"/>
      <w:pgNumType w:start="1"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Palatino Linotype">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Calibri">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e1"/>
      <w:widowControl w:val="false"/>
      <w:spacing w:before="709" w:after="0"/>
      <w:rPr>
        <w:sz w:val="24"/>
        <w:szCs w:val="24"/>
      </w:rPr>
    </w:pPr>
    <w:r>
      <w:rPr>
        <w:sz w:val="24"/>
        <w:szCs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9617"/>
      <w:gridCol w:w="236"/>
    </w:tblGrid>
    <w:tr>
      <w:trPr>
        <w:cantSplit w:val="false"/>
      </w:trPr>
      <w:tc>
        <w:tcPr>
          <w:tcW w:w="9617" w:type="dxa"/>
          <w:tcBorders>
            <w:top w:val="nil"/>
            <w:left w:val="nil"/>
            <w:bottom w:val="nil"/>
            <w:insideH w:val="nil"/>
            <w:right w:val="nil"/>
            <w:insideV w:val="nil"/>
          </w:tcBorders>
          <w:shd w:fill="FFFFFF" w:val="clear"/>
        </w:tcPr>
        <w:p>
          <w:pPr>
            <w:pStyle w:val="Normale1"/>
            <w:widowControl w:val="false"/>
            <w:spacing w:before="0" w:after="0"/>
            <w:rPr>
              <w:sz w:val="24"/>
              <w:szCs w:val="24"/>
            </w:rPr>
          </w:pPr>
          <w:r>
            <w:rPr>
              <w:sz w:val="24"/>
              <w:szCs w:val="24"/>
            </w:rPr>
          </w:r>
        </w:p>
        <w:tbl>
          <w:tblPr>
            <w:jc w:val="left"/>
            <w:tblInd w:w="0" w:type="dxa"/>
            <w:tblBorders>
              <w:top w:val="nil"/>
              <w:left w:val="nil"/>
              <w:bottom w:val="single" w:sz="4" w:space="0" w:color="000001"/>
              <w:insideH w:val="single" w:sz="4" w:space="0" w:color="000001"/>
              <w:right w:val="nil"/>
              <w:insideV w:val="nil"/>
            </w:tblBorders>
            <w:tblCellMar>
              <w:top w:w="0" w:type="dxa"/>
              <w:left w:w="108" w:type="dxa"/>
              <w:bottom w:w="0" w:type="dxa"/>
              <w:right w:w="108" w:type="dxa"/>
            </w:tblCellMar>
          </w:tblPr>
          <w:tblGrid>
            <w:gridCol w:w="2628"/>
            <w:gridCol w:w="5330"/>
            <w:gridCol w:w="2050"/>
          </w:tblGrid>
          <w:tr>
            <w:trPr>
              <w:trHeight w:val="740" w:hRule="atLeast"/>
              <w:cantSplit w:val="false"/>
            </w:trPr>
            <w:tc>
              <w:tcPr>
                <w:tcW w:w="2628" w:type="dxa"/>
                <w:tcBorders>
                  <w:top w:val="nil"/>
                  <w:left w:val="nil"/>
                  <w:bottom w:val="single" w:sz="4" w:space="0" w:color="000001"/>
                  <w:insideH w:val="single" w:sz="4" w:space="0" w:color="000001"/>
                  <w:right w:val="nil"/>
                  <w:insideV w:val="nil"/>
                </w:tcBorders>
                <w:shd w:fill="FFFFFF" w:val="clear"/>
              </w:tcPr>
              <w:p>
                <w:pPr>
                  <w:pStyle w:val="Normale1"/>
                  <w:tabs>
                    <w:tab w:val="center" w:pos="4536" w:leader="none"/>
                    <w:tab w:val="right" w:pos="9072" w:leader="none"/>
                  </w:tabs>
                  <w:spacing w:lineRule="auto" w:line="240" w:before="0" w:after="0"/>
                  <w:rPr/>
                </w:pPr>
                <w:r>
                  <w:rPr/>
                  <w:drawing>
                    <wp:anchor behindDoc="1" distT="0" distB="0" distL="114300" distR="114300" simplePos="0" locked="0" layoutInCell="1" allowOverlap="1" relativeHeight="1">
                      <wp:simplePos x="0" y="0"/>
                      <wp:positionH relativeFrom="margin">
                        <wp:posOffset>-46990</wp:posOffset>
                      </wp:positionH>
                      <wp:positionV relativeFrom="paragraph">
                        <wp:posOffset>90170</wp:posOffset>
                      </wp:positionV>
                      <wp:extent cx="1239520" cy="35623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239520" cy="356235"/>
                              </a:xfrm>
                              <a:prstGeom prst="rect">
                                <a:avLst/>
                              </a:prstGeom>
                              <a:noFill/>
                              <a:ln w="9525">
                                <a:noFill/>
                                <a:miter lim="800000"/>
                                <a:headEnd/>
                                <a:tailEnd/>
                              </a:ln>
                            </pic:spPr>
                          </pic:pic>
                        </a:graphicData>
                      </a:graphic>
                    </wp:anchor>
                  </w:drawing>
                </w:r>
              </w:p>
            </w:tc>
            <w:tc>
              <w:tcPr>
                <w:tcW w:w="5330" w:type="dxa"/>
                <w:tcBorders>
                  <w:top w:val="nil"/>
                  <w:left w:val="nil"/>
                  <w:bottom w:val="single" w:sz="4" w:space="0" w:color="000001"/>
                  <w:insideH w:val="single" w:sz="4" w:space="0" w:color="000001"/>
                  <w:right w:val="nil"/>
                  <w:insideV w:val="nil"/>
                </w:tcBorders>
                <w:shd w:fill="FFFFFF" w:val="clear"/>
              </w:tcPr>
              <w:p>
                <w:pPr>
                  <w:pStyle w:val="Normale1"/>
                  <w:tabs>
                    <w:tab w:val="center" w:pos="4536" w:leader="none"/>
                    <w:tab w:val="right" w:pos="9072" w:leader="none"/>
                  </w:tabs>
                  <w:spacing w:lineRule="auto" w:line="240" w:before="0" w:after="0"/>
                  <w:jc w:val="center"/>
                  <w:rPr/>
                </w:pPr>
                <w:r>
                  <w:rPr/>
                </w:r>
              </w:p>
              <w:p>
                <w:pPr>
                  <w:pStyle w:val="Normale1"/>
                  <w:tabs>
                    <w:tab w:val="center" w:pos="4536" w:leader="none"/>
                    <w:tab w:val="right" w:pos="9072" w:leader="none"/>
                  </w:tabs>
                  <w:spacing w:lineRule="auto" w:line="240" w:before="0" w:after="0"/>
                  <w:jc w:val="center"/>
                  <w:rPr>
                    <w:b/>
                  </w:rPr>
                </w:pPr>
                <w:r>
                  <w:rPr/>
                  <w:t xml:space="preserve">Αριθ. έργου </w:t>
                </w:r>
                <w:r>
                  <w:rPr>
                    <w:b/>
                  </w:rPr>
                  <w:t>2016-1-BG01-KA202-023714</w:t>
                </w:r>
              </w:p>
            </w:tc>
            <w:tc>
              <w:tcPr>
                <w:tcW w:w="2050" w:type="dxa"/>
                <w:tcBorders>
                  <w:top w:val="nil"/>
                  <w:left w:val="nil"/>
                  <w:bottom w:val="single" w:sz="4" w:space="0" w:color="000001"/>
                  <w:insideH w:val="single" w:sz="4" w:space="0" w:color="000001"/>
                  <w:right w:val="nil"/>
                  <w:insideV w:val="nil"/>
                </w:tcBorders>
                <w:shd w:fill="FFFFFF" w:val="clear"/>
              </w:tcPr>
              <w:p>
                <w:pPr>
                  <w:pStyle w:val="Normale1"/>
                  <w:tabs>
                    <w:tab w:val="center" w:pos="4536" w:leader="none"/>
                    <w:tab w:val="right" w:pos="9072" w:leader="none"/>
                  </w:tabs>
                  <w:spacing w:lineRule="auto" w:line="240" w:before="0" w:after="0"/>
                  <w:rPr/>
                </w:pPr>
                <w:r>
                  <w:rPr/>
                  <w:drawing>
                    <wp:anchor behindDoc="1" distT="0" distB="0" distL="114300" distR="114300" simplePos="0" locked="0" layoutInCell="1" allowOverlap="1" relativeHeight="3">
                      <wp:simplePos x="0" y="0"/>
                      <wp:positionH relativeFrom="margin">
                        <wp:posOffset>17780</wp:posOffset>
                      </wp:positionH>
                      <wp:positionV relativeFrom="paragraph">
                        <wp:posOffset>-4445</wp:posOffset>
                      </wp:positionV>
                      <wp:extent cx="574675" cy="451485"/>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74675" cy="451485"/>
                              </a:xfrm>
                              <a:prstGeom prst="rect">
                                <a:avLst/>
                              </a:prstGeom>
                              <a:noFill/>
                              <a:ln w="9525">
                                <a:noFill/>
                                <a:miter lim="800000"/>
                                <a:headEnd/>
                                <a:tailEnd/>
                              </a:ln>
                            </pic:spPr>
                          </pic:pic>
                        </a:graphicData>
                      </a:graphic>
                    </wp:anchor>
                  </w:drawing>
                </w:r>
              </w:p>
            </w:tc>
          </w:tr>
        </w:tbl>
        <w:p>
          <w:pPr>
            <w:pStyle w:val="Normale1"/>
            <w:spacing w:lineRule="auto" w:line="240" w:before="360" w:after="0"/>
            <w:rPr>
              <w:sz w:val="20"/>
              <w:szCs w:val="20"/>
            </w:rPr>
          </w:pPr>
          <w:r>
            <w:rPr>
              <w:sz w:val="20"/>
              <w:szCs w:val="20"/>
            </w:rPr>
          </w:r>
        </w:p>
      </w:tc>
      <w:tc>
        <w:tcPr>
          <w:tcW w:w="236" w:type="dxa"/>
          <w:tcBorders>
            <w:top w:val="nil"/>
            <w:left w:val="nil"/>
            <w:bottom w:val="nil"/>
            <w:insideH w:val="nil"/>
            <w:right w:val="nil"/>
            <w:insideV w:val="nil"/>
          </w:tcBorders>
          <w:shd w:fill="FFFFFF" w:val="clear"/>
        </w:tcPr>
        <w:p>
          <w:pPr>
            <w:pStyle w:val="Normale1"/>
            <w:spacing w:lineRule="auto" w:line="240" w:before="600" w:after="0"/>
            <w:jc w:val="right"/>
            <w:rPr>
              <w:sz w:val="20"/>
              <w:szCs w:val="20"/>
            </w:rPr>
          </w:pPr>
          <w:r>
            <w:rPr>
              <w:sz w:val="20"/>
              <w:szCs w:val="20"/>
            </w:rPr>
          </w:r>
        </w:p>
      </w:tc>
    </w:tr>
  </w:tbl>
  <w:p>
    <w:pPr>
      <w:pStyle w:val="Normale1"/>
      <w:tabs>
        <w:tab w:val="center" w:pos="4536" w:leader="none"/>
        <w:tab w:val="right" w:pos="9072"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Cambria" w:hAnsi="Cambria" w:eastAsia="Cambria" w:cs="Cambria"/>
        <w:lang w:val="fr-FR" w:eastAsia="fr-FR" w:bidi="ar-SA"/>
      </w:rPr>
    </w:rPrDefault>
    <w:pPrDefault>
      <w:pPr/>
    </w:pPrDefault>
  </w:docDefaults>
  <w:latentStyles w:defUnhideWhenUsed="0" w:count="375"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Web 1"/>
    <w:lsdException w:unhideWhenUsed="1" w:semiHidden="1" w:name="Table Web 2"/>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681b20"/>
    <w:pPr>
      <w:widowControl/>
      <w:pBdr>
        <w:top w:val="nil"/>
        <w:left w:val="nil"/>
        <w:bottom w:val="nil"/>
        <w:right w:val="nil"/>
      </w:pBdr>
      <w:suppressAutoHyphens w:val="true"/>
      <w:bidi w:val="0"/>
      <w:spacing w:lineRule="auto" w:line="276" w:before="0" w:after="200"/>
      <w:jc w:val="left"/>
    </w:pPr>
    <w:rPr>
      <w:rFonts w:ascii="Cambria" w:hAnsi="Cambria" w:eastAsia="Cambria" w:cs="Cambria"/>
      <w:color w:val="000000"/>
      <w:sz w:val="22"/>
      <w:szCs w:val="22"/>
      <w:lang w:val="el-GR" w:eastAsia="el-GR" w:bidi="ar-SA"/>
    </w:rPr>
  </w:style>
  <w:style w:type="paragraph" w:styleId="Heading1">
    <w:name w:val="Heading 1"/>
    <w:rsid w:val="00a952a6"/>
    <w:pPr>
      <w:keepNext/>
      <w:widowControl w:val="false"/>
      <w:suppressAutoHyphens w:val="true"/>
      <w:spacing w:before="480" w:after="0"/>
      <w:ind w:left="720" w:right="0" w:hanging="360"/>
      <w:outlineLvl w:val="0"/>
    </w:pPr>
    <w:rPr>
      <w:rFonts w:ascii="Palatino Linotype" w:hAnsi="Palatino Linotype" w:eastAsia="Palatino Linotype" w:cs="Palatino Linotype"/>
      <w:b/>
      <w:smallCaps/>
      <w:color w:val="auto"/>
      <w:sz w:val="28"/>
      <w:szCs w:val="28"/>
      <w:lang w:val="fr-FR" w:eastAsia="fr-FR" w:bidi="ar-SA"/>
    </w:rPr>
  </w:style>
  <w:style w:type="paragraph" w:styleId="Heading2">
    <w:name w:val="Heading 2"/>
    <w:rsid w:val="00a952a6"/>
    <w:pPr>
      <w:keepNext/>
      <w:widowControl w:val="false"/>
      <w:suppressAutoHyphens w:val="true"/>
      <w:spacing w:before="240" w:after="60"/>
      <w:outlineLvl w:val="1"/>
    </w:pPr>
    <w:rPr>
      <w:rFonts w:ascii="Cambria" w:hAnsi="Cambria" w:eastAsia="Cambria" w:cs="Cambria"/>
      <w:b/>
      <w:i/>
      <w:color w:val="auto"/>
      <w:sz w:val="28"/>
      <w:szCs w:val="28"/>
      <w:lang w:val="fr-FR" w:eastAsia="fr-FR" w:bidi="ar-SA"/>
    </w:rPr>
  </w:style>
  <w:style w:type="paragraph" w:styleId="Heading3">
    <w:name w:val="Heading 3"/>
    <w:rsid w:val="00a952a6"/>
    <w:pPr>
      <w:keepNext/>
      <w:keepLines/>
      <w:widowControl w:val="false"/>
      <w:suppressAutoHyphens w:val="true"/>
      <w:spacing w:before="240" w:after="0"/>
      <w:ind w:left="1224" w:right="72" w:hanging="432"/>
      <w:outlineLvl w:val="2"/>
    </w:pPr>
    <w:rPr>
      <w:rFonts w:ascii="Times" w:hAnsi="Times" w:eastAsia="Times" w:cs="Times"/>
      <w:b/>
      <w:color w:val="auto"/>
      <w:sz w:val="20"/>
      <w:szCs w:val="20"/>
      <w:lang w:val="fr-FR" w:eastAsia="fr-FR" w:bidi="ar-SA"/>
    </w:rPr>
  </w:style>
  <w:style w:type="paragraph" w:styleId="Heading4">
    <w:name w:val="Heading 4"/>
    <w:rsid w:val="00a952a6"/>
    <w:pPr>
      <w:keepNext/>
      <w:keepLines/>
      <w:widowControl w:val="false"/>
      <w:suppressAutoHyphens w:val="true"/>
      <w:spacing w:before="240" w:after="0"/>
      <w:ind w:left="1584" w:right="72" w:hanging="720"/>
      <w:outlineLvl w:val="3"/>
    </w:pPr>
    <w:rPr>
      <w:rFonts w:ascii="Times" w:hAnsi="Times" w:eastAsia="Times" w:cs="Times"/>
      <w:b/>
      <w:color w:val="auto"/>
      <w:sz w:val="20"/>
      <w:szCs w:val="20"/>
      <w:lang w:val="fr-FR" w:eastAsia="fr-FR" w:bidi="ar-SA"/>
    </w:rPr>
  </w:style>
  <w:style w:type="paragraph" w:styleId="Heading5">
    <w:name w:val="Heading 5"/>
    <w:rsid w:val="00a952a6"/>
    <w:pPr>
      <w:keepNext/>
      <w:keepLines/>
      <w:widowControl w:val="false"/>
      <w:suppressAutoHyphens w:val="true"/>
      <w:spacing w:before="220" w:after="40"/>
      <w:outlineLvl w:val="4"/>
    </w:pPr>
    <w:rPr>
      <w:rFonts w:ascii="Cambria" w:hAnsi="Cambria" w:eastAsia="Cambria" w:cs="Cambria"/>
      <w:b/>
      <w:color w:val="auto"/>
      <w:sz w:val="20"/>
      <w:szCs w:val="20"/>
      <w:lang w:val="fr-FR" w:eastAsia="fr-FR" w:bidi="ar-SA"/>
    </w:rPr>
  </w:style>
  <w:style w:type="paragraph" w:styleId="Heading6">
    <w:name w:val="Heading 6"/>
    <w:rsid w:val="00a952a6"/>
    <w:pPr>
      <w:keepNext/>
      <w:keepLines/>
      <w:widowControl w:val="false"/>
      <w:suppressAutoHyphens w:val="true"/>
      <w:spacing w:before="200" w:after="40"/>
      <w:outlineLvl w:val="5"/>
    </w:pPr>
    <w:rPr>
      <w:rFonts w:ascii="Cambria" w:hAnsi="Cambria" w:eastAsia="Cambria" w:cs="Cambria"/>
      <w:b/>
      <w:color w:val="auto"/>
      <w:sz w:val="20"/>
      <w:szCs w:val="20"/>
      <w:lang w:val="fr-FR" w:eastAsia="fr-FR" w:bidi="ar-SA"/>
    </w:rPr>
  </w:style>
  <w:style w:type="character" w:styleId="DefaultParagraphFont" w:default="1">
    <w:name w:val="Default Paragraph Font"/>
    <w:uiPriority w:val="1"/>
    <w:semiHidden/>
    <w:unhideWhenUsed/>
    <w:rPr/>
  </w:style>
  <w:style w:type="character" w:styleId="CommentTextChar" w:customStyle="1">
    <w:name w:val="Comment Text Char"/>
    <w:uiPriority w:val="99"/>
    <w:semiHidden/>
    <w:link w:val="CommentText"/>
    <w:rsid w:val="00a952a6"/>
    <w:rPr>
      <w:sz w:val="20"/>
      <w:szCs w:val="20"/>
      <w:lang w:val="el-GR" w:eastAsia="el-GR"/>
    </w:rPr>
  </w:style>
  <w:style w:type="character" w:styleId="Annotationreference">
    <w:name w:val="annotation reference"/>
    <w:uiPriority w:val="99"/>
    <w:semiHidden/>
    <w:unhideWhenUsed/>
    <w:rsid w:val="00a952a6"/>
    <w:rPr>
      <w:sz w:val="16"/>
      <w:szCs w:val="16"/>
      <w:lang w:val="el-GR" w:eastAsia="el-GR"/>
    </w:rPr>
  </w:style>
  <w:style w:type="character" w:styleId="BalloonTextChar" w:customStyle="1">
    <w:name w:val="Balloon Text Char"/>
    <w:uiPriority w:val="99"/>
    <w:semiHidden/>
    <w:link w:val="BalloonText"/>
    <w:rsid w:val="00e97bbc"/>
    <w:rPr>
      <w:rFonts w:ascii="Tahoma" w:hAnsi="Tahoma" w:cs="Tahoma"/>
      <w:sz w:val="16"/>
      <w:szCs w:val="16"/>
      <w:lang w:val="el-GR" w:eastAsia="el-GR"/>
    </w:rPr>
  </w:style>
  <w:style w:type="character" w:styleId="HeaderChar" w:customStyle="1">
    <w:name w:val="Header Char"/>
    <w:uiPriority w:val="99"/>
    <w:link w:val="Header"/>
    <w:rsid w:val="00d03388"/>
    <w:basedOn w:val="DefaultParagraphFont"/>
    <w:rPr/>
  </w:style>
  <w:style w:type="character" w:styleId="FooterChar" w:customStyle="1">
    <w:name w:val="Footer Char"/>
    <w:uiPriority w:val="99"/>
    <w:link w:val="Footer"/>
    <w:rsid w:val="00d03388"/>
    <w:basedOn w:val="DefaultParagraphFont"/>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e1" w:customStyle="1">
    <w:name w:val="Normale1"/>
    <w:rsid w:val="00a952a6"/>
    <w:pPr>
      <w:widowControl/>
      <w:pBdr>
        <w:top w:val="nil"/>
        <w:left w:val="nil"/>
        <w:bottom w:val="nil"/>
        <w:right w:val="nil"/>
      </w:pBdr>
      <w:suppressAutoHyphens w:val="true"/>
      <w:bidi w:val="0"/>
      <w:spacing w:lineRule="auto" w:line="276" w:before="0" w:after="200"/>
      <w:jc w:val="left"/>
    </w:pPr>
    <w:rPr>
      <w:rFonts w:ascii="Cambria" w:hAnsi="Cambria" w:eastAsia="Cambria" w:cs="Cambria"/>
      <w:color w:val="000000"/>
      <w:sz w:val="22"/>
      <w:szCs w:val="22"/>
      <w:lang w:val="el-GR" w:eastAsia="el-GR" w:bidi="ar-SA"/>
    </w:rPr>
  </w:style>
  <w:style w:type="paragraph" w:styleId="Title">
    <w:name w:val="Title"/>
    <w:rsid w:val="00a952a6"/>
    <w:basedOn w:val="Normale1"/>
    <w:next w:val="Normale1"/>
    <w:pPr>
      <w:spacing w:lineRule="auto" w:line="240" w:before="0" w:after="300"/>
    </w:pPr>
    <w:rPr>
      <w:smallCaps/>
      <w:sz w:val="52"/>
      <w:szCs w:val="52"/>
    </w:rPr>
  </w:style>
  <w:style w:type="paragraph" w:styleId="Subtitle">
    <w:name w:val="Subtitle"/>
    <w:rsid w:val="00a952a6"/>
    <w:basedOn w:val="Normale1"/>
    <w:next w:val="Normale1"/>
    <w:pPr>
      <w:keepNext/>
      <w:keepLines/>
      <w:spacing w:before="360" w:after="80"/>
    </w:pPr>
    <w:rPr>
      <w:rFonts w:ascii="Georgia" w:hAnsi="Georgia" w:eastAsia="Georgia" w:cs="Georgia"/>
      <w:i/>
      <w:color w:val="666666"/>
      <w:sz w:val="48"/>
      <w:szCs w:val="48"/>
    </w:rPr>
  </w:style>
  <w:style w:type="paragraph" w:styleId="Annotationtext">
    <w:name w:val="annotation text"/>
    <w:uiPriority w:val="99"/>
    <w:semiHidden/>
    <w:unhideWhenUsed/>
    <w:link w:val="CommentTextChar"/>
    <w:rsid w:val="00a952a6"/>
    <w:basedOn w:val="Normal"/>
    <w:pPr>
      <w:spacing w:lineRule="auto" w:line="240"/>
    </w:pPr>
    <w:rPr>
      <w:sz w:val="20"/>
      <w:szCs w:val="20"/>
    </w:rPr>
  </w:style>
  <w:style w:type="paragraph" w:styleId="BalloonText">
    <w:name w:val="Balloon Text"/>
    <w:uiPriority w:val="99"/>
    <w:semiHidden/>
    <w:unhideWhenUsed/>
    <w:link w:val="BalloonTextChar"/>
    <w:rsid w:val="00e97bbc"/>
    <w:basedOn w:val="Normal"/>
    <w:pPr>
      <w:spacing w:lineRule="auto" w:line="240" w:before="0" w:after="0"/>
    </w:pPr>
    <w:rPr>
      <w:rFonts w:ascii="Tahoma" w:hAnsi="Tahoma" w:cs="Tahoma"/>
      <w:sz w:val="16"/>
      <w:szCs w:val="16"/>
    </w:rPr>
  </w:style>
  <w:style w:type="paragraph" w:styleId="ListParagraph">
    <w:name w:val="List Paragraph"/>
    <w:uiPriority w:val="34"/>
    <w:qFormat/>
    <w:rsid w:val="00d03388"/>
    <w:basedOn w:val="Normal"/>
    <w:pPr>
      <w:pBdr>
        <w:top w:val="nil"/>
        <w:left w:val="nil"/>
        <w:bottom w:val="nil"/>
        <w:right w:val="nil"/>
      </w:pBdr>
      <w:spacing w:lineRule="auto" w:line="256" w:before="0" w:after="160"/>
      <w:ind w:left="720" w:right="0" w:hanging="0"/>
      <w:contextualSpacing/>
    </w:pPr>
    <w:rPr>
      <w:rFonts w:ascii="Calibri" w:hAnsi="Calibri" w:eastAsia="Calibri" w:cs="Times New Roman"/>
    </w:rPr>
  </w:style>
  <w:style w:type="paragraph" w:styleId="Header">
    <w:name w:val="Header"/>
    <w:uiPriority w:val="99"/>
    <w:unhideWhenUsed/>
    <w:link w:val="HeaderChar"/>
    <w:rsid w:val="00d03388"/>
    <w:basedOn w:val="Normal"/>
    <w:pPr>
      <w:tabs>
        <w:tab w:val="center" w:pos="4819" w:leader="none"/>
        <w:tab w:val="right" w:pos="9638" w:leader="none"/>
      </w:tabs>
      <w:spacing w:lineRule="auto" w:line="240" w:before="0" w:after="0"/>
    </w:pPr>
    <w:rPr/>
  </w:style>
  <w:style w:type="paragraph" w:styleId="Footer">
    <w:name w:val="Footer"/>
    <w:uiPriority w:val="99"/>
    <w:unhideWhenUsed/>
    <w:link w:val="FooterChar"/>
    <w:rsid w:val="00d03388"/>
    <w:basedOn w:val="Normal"/>
    <w:pPr>
      <w:tabs>
        <w:tab w:val="center" w:pos="4819" w:leader="none"/>
        <w:tab w:val="right" w:pos="9638"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2018-07-30T07:52:00Z</dcterms:created>
  <dc:language>en-US</dc:language>
  <dcterms:modified xsi:type="dcterms:W3CDTF">2018-07-30T07:52:00Z</dcterms:modified>
  <cp:revision>1</cp:revision>
</cp:coreProperties>
</file>