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88" w:rsidRPr="00D03388" w:rsidRDefault="00D03388" w:rsidP="00D03388">
      <w:pPr>
        <w:jc w:val="center"/>
        <w:rPr>
          <w:b/>
          <w:sz w:val="40"/>
          <w:lang w:val="en-US"/>
        </w:rPr>
      </w:pPr>
      <w:r w:rsidRPr="00D03388">
        <w:rPr>
          <w:b/>
          <w:sz w:val="40"/>
          <w:lang w:val="en-US"/>
        </w:rPr>
        <w:t xml:space="preserve">Executive Summary </w:t>
      </w:r>
    </w:p>
    <w:p w:rsidR="00D03388" w:rsidRPr="00143868" w:rsidRDefault="00D03388" w:rsidP="00D03388">
      <w:pPr>
        <w:spacing w:line="240" w:lineRule="auto"/>
      </w:pPr>
      <w:bookmarkStart w:id="0" w:name="_Toc510793718"/>
    </w:p>
    <w:p w:rsidR="00D03388" w:rsidRPr="00143868" w:rsidRDefault="00D03388" w:rsidP="00D03388">
      <w:pPr>
        <w:spacing w:line="240" w:lineRule="auto"/>
      </w:pPr>
      <w:r w:rsidRPr="00143868">
        <w:t xml:space="preserve">The Quality Assurance Guidelines for enhancing Quality Assurance systems for VET convey policies, procedures, and </w:t>
      </w:r>
      <w:r>
        <w:t>indications</w:t>
      </w:r>
      <w:r w:rsidRPr="00143868">
        <w:t xml:space="preserve"> to support the delivery of </w:t>
      </w:r>
      <w:r>
        <w:t>inclusive education</w:t>
      </w:r>
      <w:r w:rsidRPr="00143868">
        <w:t xml:space="preserve"> in VET schools for students with Special Educational Needs (SEN) mainly focused on ADHD. </w:t>
      </w:r>
      <w:r w:rsidRPr="00143868">
        <w:br/>
      </w:r>
    </w:p>
    <w:p w:rsidR="00D03388" w:rsidRPr="00143868" w:rsidRDefault="00D03388" w:rsidP="00D03388">
      <w:pPr>
        <w:spacing w:line="240" w:lineRule="auto"/>
      </w:pPr>
      <w:r w:rsidRPr="00143868">
        <w:t>In particular, the Guidelines are aimed at:</w:t>
      </w:r>
      <w:r w:rsidRPr="00143868">
        <w:br/>
      </w:r>
      <w:r w:rsidRPr="00143868">
        <w:br/>
        <w:t>-provid</w:t>
      </w:r>
      <w:r>
        <w:t xml:space="preserve">ing support for VET institutions for setting-up </w:t>
      </w:r>
      <w:r w:rsidRPr="00143868">
        <w:t xml:space="preserve">innovative and flexible learning environments through </w:t>
      </w:r>
      <w:r>
        <w:t xml:space="preserve">widening their </w:t>
      </w:r>
      <w:r w:rsidRPr="00143868">
        <w:t>education</w:t>
      </w:r>
      <w:r>
        <w:t xml:space="preserve">al offer </w:t>
      </w:r>
      <w:r w:rsidRPr="00143868">
        <w:t>for students with SEN, especially with ADHD;</w:t>
      </w:r>
      <w:r w:rsidRPr="00143868">
        <w:br/>
      </w:r>
      <w:r w:rsidRPr="00143868">
        <w:br/>
        <w:t>-</w:t>
      </w:r>
      <w:r>
        <w:t>enhancing</w:t>
      </w:r>
      <w:r w:rsidRPr="00143868">
        <w:t xml:space="preserve"> </w:t>
      </w:r>
      <w:r>
        <w:t xml:space="preserve">the </w:t>
      </w:r>
      <w:r w:rsidRPr="00143868">
        <w:t>participation, engagement and achievement</w:t>
      </w:r>
      <w:r>
        <w:t xml:space="preserve">s of students </w:t>
      </w:r>
      <w:r w:rsidRPr="00143868">
        <w:t>with ADHD</w:t>
      </w:r>
      <w:r>
        <w:t>;</w:t>
      </w:r>
      <w:r w:rsidRPr="00143868">
        <w:br/>
      </w:r>
      <w:r w:rsidRPr="00143868">
        <w:br/>
        <w:t>-strengthen</w:t>
      </w:r>
      <w:r>
        <w:t xml:space="preserve">ing </w:t>
      </w:r>
      <w:r w:rsidRPr="00143868">
        <w:t xml:space="preserve">the quality of support </w:t>
      </w:r>
      <w:r>
        <w:t xml:space="preserve">provided </w:t>
      </w:r>
      <w:r w:rsidRPr="00143868">
        <w:t>to students with ADHD and their families especially during periods of transition and times of difficulty;</w:t>
      </w:r>
      <w:r w:rsidRPr="00143868">
        <w:br/>
      </w:r>
      <w:r w:rsidRPr="00143868">
        <w:br/>
        <w:t>-promote a culture of partnerships between schools and other education providers and agencies in the provision of education and services to students with different learning needs;</w:t>
      </w:r>
      <w:r w:rsidRPr="00143868">
        <w:br/>
      </w:r>
      <w:r w:rsidRPr="00143868">
        <w:br/>
        <w:t>-create supportive environments in which students can thrive and learn;</w:t>
      </w:r>
      <w:r w:rsidRPr="00143868">
        <w:br/>
      </w:r>
      <w:r w:rsidRPr="00143868">
        <w:br/>
        <w:t xml:space="preserve">-enhance the positive mental, social and emotional wellbeing of school staff and students with focus on students with SEN. </w:t>
      </w:r>
    </w:p>
    <w:p w:rsidR="00D03388" w:rsidRPr="00143868" w:rsidRDefault="00D03388" w:rsidP="00D03388">
      <w:pPr>
        <w:spacing w:line="240" w:lineRule="auto"/>
      </w:pPr>
      <w:r w:rsidRPr="00143868">
        <w:t xml:space="preserve">The Guidelines primarily address principals, school-based teams such as assistant principals, teachers and trainers, school coordinators, students’ </w:t>
      </w:r>
      <w:r w:rsidRPr="00143868">
        <w:t>counsellors</w:t>
      </w:r>
      <w:r w:rsidRPr="00143868">
        <w:t>, curriculum coordinators and special educational professionals but may also prove of interest to other professionals within the education, social service or health care communities, to parents and to members of the public at large.</w:t>
      </w:r>
    </w:p>
    <w:p w:rsidR="00D03388" w:rsidRPr="00143868" w:rsidRDefault="00D03388" w:rsidP="00D03388">
      <w:pPr>
        <w:spacing w:line="240" w:lineRule="auto"/>
      </w:pPr>
    </w:p>
    <w:p w:rsidR="00D03388" w:rsidRPr="00143868" w:rsidRDefault="00D03388" w:rsidP="00D03388">
      <w:pPr>
        <w:spacing w:line="240" w:lineRule="auto"/>
      </w:pPr>
      <w:r w:rsidRPr="00143868">
        <w:t>The Quality Assurance Guidelines are structured in two main areas:</w:t>
      </w:r>
    </w:p>
    <w:p w:rsidR="00D03388" w:rsidRPr="00143868" w:rsidRDefault="00D03388" w:rsidP="00D03388">
      <w:pPr>
        <w:spacing w:line="240" w:lineRule="auto"/>
      </w:pPr>
      <w:r w:rsidRPr="00143868">
        <w:t xml:space="preserve"> </w:t>
      </w:r>
      <w:bookmarkStart w:id="1" w:name="_GoBack"/>
      <w:bookmarkEnd w:id="1"/>
    </w:p>
    <w:bookmarkEnd w:id="0"/>
    <w:p w:rsidR="00D03388" w:rsidRPr="00143868" w:rsidRDefault="00D03388" w:rsidP="00D03388">
      <w:pPr>
        <w:spacing w:line="240" w:lineRule="auto"/>
        <w:rPr>
          <w:b/>
        </w:rPr>
      </w:pPr>
      <w:r w:rsidRPr="00143868">
        <w:rPr>
          <w:b/>
        </w:rPr>
        <w:t xml:space="preserve">1. Policy </w:t>
      </w:r>
      <w:r w:rsidRPr="00143868">
        <w:rPr>
          <w:b/>
        </w:rPr>
        <w:br/>
        <w:t>2. Instructional Strategies and Practices</w:t>
      </w:r>
      <w:r w:rsidRPr="00143868">
        <w:rPr>
          <w:b/>
        </w:rPr>
        <w:br/>
      </w:r>
    </w:p>
    <w:p w:rsidR="00D03388" w:rsidRPr="00143868" w:rsidRDefault="00D03388" w:rsidP="00D03388">
      <w:pPr>
        <w:spacing w:line="240" w:lineRule="auto"/>
      </w:pPr>
      <w:r w:rsidRPr="00143868">
        <w:t xml:space="preserve">Guidelines within the </w:t>
      </w:r>
      <w:r w:rsidRPr="00143868">
        <w:rPr>
          <w:b/>
        </w:rPr>
        <w:t>Policy area</w:t>
      </w:r>
      <w:r w:rsidRPr="00143868">
        <w:t xml:space="preserve"> provide practical instructions on the following topics:</w:t>
      </w:r>
    </w:p>
    <w:p w:rsidR="00D03388" w:rsidRPr="00D03388" w:rsidRDefault="00D03388" w:rsidP="00D03388">
      <w:pPr>
        <w:pStyle w:val="Paragrafoelenco"/>
        <w:numPr>
          <w:ilvl w:val="0"/>
          <w:numId w:val="2"/>
        </w:numPr>
        <w:spacing w:line="240" w:lineRule="auto"/>
        <w:rPr>
          <w:rFonts w:asciiTheme="majorHAnsi" w:hAnsiTheme="majorHAnsi"/>
        </w:rPr>
      </w:pPr>
      <w:r w:rsidRPr="00D03388">
        <w:rPr>
          <w:rFonts w:asciiTheme="majorHAnsi" w:hAnsiTheme="majorHAnsi"/>
          <w:b/>
        </w:rPr>
        <w:t>Mission and vision</w:t>
      </w:r>
      <w:r w:rsidRPr="00D03388">
        <w:rPr>
          <w:rFonts w:asciiTheme="majorHAnsi" w:hAnsiTheme="majorHAnsi"/>
        </w:rPr>
        <w:t xml:space="preserve">: provides policy for the delivery of special education programs and services </w:t>
      </w:r>
    </w:p>
    <w:p w:rsidR="00D03388" w:rsidRPr="00D03388" w:rsidRDefault="00D03388" w:rsidP="00D03388">
      <w:pPr>
        <w:pStyle w:val="Paragrafoelenco"/>
        <w:numPr>
          <w:ilvl w:val="0"/>
          <w:numId w:val="2"/>
        </w:numPr>
        <w:spacing w:line="240" w:lineRule="auto"/>
        <w:rPr>
          <w:rFonts w:asciiTheme="majorHAnsi" w:hAnsiTheme="majorHAnsi"/>
        </w:rPr>
      </w:pPr>
      <w:r w:rsidRPr="00D03388">
        <w:rPr>
          <w:rFonts w:asciiTheme="majorHAnsi" w:hAnsiTheme="majorHAnsi"/>
          <w:b/>
        </w:rPr>
        <w:t>Roles and Responsibilities</w:t>
      </w:r>
      <w:r w:rsidRPr="00D03388">
        <w:rPr>
          <w:rFonts w:asciiTheme="majorHAnsi" w:hAnsiTheme="majorHAnsi"/>
        </w:rPr>
        <w:t xml:space="preserve">: outlines the roles and responsibilities of the school boards, district and school-based personnel, parents and students in the development and implementation of special education services. </w:t>
      </w:r>
    </w:p>
    <w:p w:rsidR="00D03388" w:rsidRPr="00D03388" w:rsidRDefault="00D03388" w:rsidP="00D03388">
      <w:pPr>
        <w:pStyle w:val="Paragrafoelenco"/>
        <w:numPr>
          <w:ilvl w:val="0"/>
          <w:numId w:val="2"/>
        </w:numPr>
        <w:spacing w:line="240" w:lineRule="auto"/>
        <w:rPr>
          <w:rFonts w:asciiTheme="majorHAnsi" w:hAnsiTheme="majorHAnsi"/>
        </w:rPr>
      </w:pPr>
      <w:r w:rsidRPr="00D03388">
        <w:rPr>
          <w:rFonts w:asciiTheme="majorHAnsi" w:hAnsiTheme="majorHAnsi"/>
          <w:b/>
        </w:rPr>
        <w:lastRenderedPageBreak/>
        <w:t>Individual Education Plan (IEP)</w:t>
      </w:r>
      <w:r w:rsidRPr="00D03388">
        <w:rPr>
          <w:rFonts w:asciiTheme="majorHAnsi" w:hAnsiTheme="majorHAnsi"/>
        </w:rPr>
        <w:t xml:space="preserve">: describes the process of identifying students who have special needs, planning and implementing individual programs for them, and evaluating and reporting on their progress. </w:t>
      </w:r>
    </w:p>
    <w:p w:rsidR="00D03388" w:rsidRPr="00D03388" w:rsidRDefault="00D03388" w:rsidP="00D03388">
      <w:pPr>
        <w:pStyle w:val="Paragrafoelenco"/>
        <w:numPr>
          <w:ilvl w:val="0"/>
          <w:numId w:val="2"/>
        </w:numPr>
        <w:spacing w:line="240" w:lineRule="auto"/>
        <w:rPr>
          <w:rFonts w:asciiTheme="majorHAnsi" w:hAnsiTheme="majorHAnsi"/>
        </w:rPr>
      </w:pPr>
      <w:r w:rsidRPr="00D03388">
        <w:rPr>
          <w:rFonts w:asciiTheme="majorHAnsi" w:hAnsiTheme="majorHAnsi"/>
          <w:b/>
        </w:rPr>
        <w:t>Special Services</w:t>
      </w:r>
      <w:r w:rsidRPr="00D03388">
        <w:rPr>
          <w:rFonts w:asciiTheme="majorHAnsi" w:hAnsiTheme="majorHAnsi"/>
        </w:rPr>
        <w:t xml:space="preserve">: describes services that should be available in school to support service delivery. </w:t>
      </w:r>
    </w:p>
    <w:p w:rsidR="00D03388" w:rsidRPr="00D03388" w:rsidRDefault="00D03388" w:rsidP="00D03388">
      <w:pPr>
        <w:spacing w:line="240" w:lineRule="auto"/>
        <w:rPr>
          <w:rFonts w:asciiTheme="majorHAnsi" w:hAnsiTheme="majorHAnsi"/>
        </w:rPr>
      </w:pPr>
    </w:p>
    <w:p w:rsidR="00D03388" w:rsidRPr="00D03388" w:rsidRDefault="00D03388" w:rsidP="00D03388">
      <w:pPr>
        <w:spacing w:line="240" w:lineRule="auto"/>
        <w:rPr>
          <w:rFonts w:asciiTheme="majorHAnsi" w:hAnsiTheme="majorHAnsi"/>
        </w:rPr>
      </w:pPr>
      <w:r w:rsidRPr="00D03388">
        <w:rPr>
          <w:rFonts w:asciiTheme="majorHAnsi" w:hAnsiTheme="majorHAnsi"/>
        </w:rPr>
        <w:t>Guidelines belonging to the area ‘</w:t>
      </w:r>
      <w:r w:rsidRPr="00D03388">
        <w:rPr>
          <w:rFonts w:asciiTheme="majorHAnsi" w:hAnsiTheme="majorHAnsi"/>
          <w:b/>
        </w:rPr>
        <w:t>Instructional Strategies and Practices</w:t>
      </w:r>
      <w:r w:rsidRPr="00D03388">
        <w:rPr>
          <w:rFonts w:asciiTheme="majorHAnsi" w:hAnsiTheme="majorHAnsi"/>
        </w:rPr>
        <w:t>’ provide indications about:</w:t>
      </w:r>
    </w:p>
    <w:p w:rsidR="00D03388" w:rsidRPr="00D03388" w:rsidRDefault="00D03388" w:rsidP="00D03388">
      <w:pPr>
        <w:pStyle w:val="Paragrafoelenco"/>
        <w:numPr>
          <w:ilvl w:val="0"/>
          <w:numId w:val="1"/>
        </w:numPr>
        <w:spacing w:line="240" w:lineRule="auto"/>
        <w:rPr>
          <w:rFonts w:asciiTheme="majorHAnsi" w:hAnsiTheme="majorHAnsi"/>
        </w:rPr>
      </w:pPr>
      <w:r w:rsidRPr="00D03388">
        <w:rPr>
          <w:rFonts w:asciiTheme="majorHAnsi" w:hAnsiTheme="majorHAnsi"/>
          <w:b/>
        </w:rPr>
        <w:t>Identification of students with ADHD</w:t>
      </w:r>
      <w:r w:rsidRPr="00D03388">
        <w:rPr>
          <w:rFonts w:asciiTheme="majorHAnsi" w:hAnsiTheme="majorHAnsi"/>
        </w:rPr>
        <w:t xml:space="preserve">: lists the </w:t>
      </w:r>
      <w:proofErr w:type="spellStart"/>
      <w:r w:rsidRPr="00D03388">
        <w:rPr>
          <w:rFonts w:asciiTheme="majorHAnsi" w:hAnsiTheme="majorHAnsi"/>
        </w:rPr>
        <w:t>behaviors</w:t>
      </w:r>
      <w:proofErr w:type="spellEnd"/>
      <w:r w:rsidRPr="00D03388">
        <w:rPr>
          <w:rFonts w:asciiTheme="majorHAnsi" w:hAnsiTheme="majorHAnsi"/>
        </w:rPr>
        <w:t xml:space="preserve"> associated with ADHD </w:t>
      </w:r>
    </w:p>
    <w:p w:rsidR="00D03388" w:rsidRPr="00D03388" w:rsidRDefault="00D03388" w:rsidP="00D03388">
      <w:pPr>
        <w:pStyle w:val="Paragrafoelenco"/>
        <w:numPr>
          <w:ilvl w:val="0"/>
          <w:numId w:val="1"/>
        </w:numPr>
        <w:spacing w:line="240" w:lineRule="auto"/>
        <w:rPr>
          <w:rFonts w:asciiTheme="majorHAnsi" w:hAnsiTheme="majorHAnsi"/>
        </w:rPr>
      </w:pPr>
      <w:r w:rsidRPr="00D03388">
        <w:rPr>
          <w:rFonts w:asciiTheme="majorHAnsi" w:hAnsiTheme="majorHAnsi"/>
          <w:b/>
        </w:rPr>
        <w:t>Strategy for instruction of student with ADHD</w:t>
      </w:r>
      <w:r w:rsidRPr="00D03388">
        <w:rPr>
          <w:rFonts w:asciiTheme="majorHAnsi" w:hAnsiTheme="majorHAnsi"/>
        </w:rPr>
        <w:t>: delineates rules and instructions for teaching to students with ADHD in terms of: behavioural interventions and classroom accommodations: Special classroom seating arrangements for ADHD students</w:t>
      </w:r>
    </w:p>
    <w:p w:rsidR="00D03388" w:rsidRPr="00D03388" w:rsidRDefault="00D03388" w:rsidP="00D03388">
      <w:pPr>
        <w:pStyle w:val="Paragrafoelenco"/>
        <w:numPr>
          <w:ilvl w:val="0"/>
          <w:numId w:val="1"/>
        </w:numPr>
        <w:spacing w:line="240" w:lineRule="auto"/>
        <w:rPr>
          <w:rFonts w:asciiTheme="majorHAnsi" w:hAnsiTheme="majorHAnsi"/>
        </w:rPr>
      </w:pPr>
      <w:r w:rsidRPr="00D03388">
        <w:rPr>
          <w:rFonts w:asciiTheme="majorHAnsi" w:hAnsiTheme="majorHAnsi"/>
          <w:b/>
        </w:rPr>
        <w:t>VET trainee placement</w:t>
      </w:r>
      <w:r w:rsidRPr="00D03388">
        <w:rPr>
          <w:rFonts w:asciiTheme="majorHAnsi" w:hAnsiTheme="majorHAnsi"/>
        </w:rPr>
        <w:t>: presents special accommodation procedures and strategies in order to include VET students with ADHD at work practicing their WBL through ad hoc work placement and tutoring accommodation services.</w:t>
      </w:r>
    </w:p>
    <w:p w:rsidR="00D03388" w:rsidRPr="00D03388" w:rsidRDefault="00D03388" w:rsidP="00D03388">
      <w:pPr>
        <w:spacing w:line="240" w:lineRule="auto"/>
        <w:rPr>
          <w:rFonts w:asciiTheme="majorHAnsi" w:hAnsiTheme="majorHAnsi"/>
        </w:rPr>
      </w:pPr>
      <w:r w:rsidRPr="00D03388">
        <w:rPr>
          <w:rFonts w:asciiTheme="majorHAnsi" w:hAnsiTheme="majorHAnsi"/>
        </w:rPr>
        <w:t xml:space="preserve">At the end of the Guidelines, further instructions and instruments are provided in the </w:t>
      </w:r>
      <w:r w:rsidRPr="00D03388">
        <w:rPr>
          <w:rFonts w:asciiTheme="majorHAnsi" w:hAnsiTheme="majorHAnsi"/>
          <w:b/>
        </w:rPr>
        <w:t>Annex</w:t>
      </w:r>
      <w:r w:rsidRPr="00D03388">
        <w:rPr>
          <w:rFonts w:asciiTheme="majorHAnsi" w:hAnsiTheme="majorHAnsi"/>
        </w:rPr>
        <w:t xml:space="preserve"> in order to support school staff in developing school policy on inclusive education for students with different learning needs.</w:t>
      </w:r>
    </w:p>
    <w:p w:rsidR="00D03388" w:rsidRPr="00D03388" w:rsidRDefault="00D03388" w:rsidP="00D03388">
      <w:pPr>
        <w:spacing w:line="240" w:lineRule="auto"/>
        <w:rPr>
          <w:rFonts w:asciiTheme="majorHAnsi" w:hAnsiTheme="majorHAnsi"/>
        </w:rPr>
      </w:pPr>
    </w:p>
    <w:p w:rsidR="00A952A6" w:rsidRPr="00D03388" w:rsidRDefault="00A952A6" w:rsidP="00D03388">
      <w:pPr>
        <w:rPr>
          <w:rFonts w:asciiTheme="majorHAnsi" w:hAnsiTheme="majorHAnsi"/>
        </w:rPr>
      </w:pPr>
    </w:p>
    <w:sectPr w:rsidR="00A952A6" w:rsidRPr="00D03388" w:rsidSect="00D03388">
      <w:headerReference w:type="even" r:id="rId8"/>
      <w:headerReference w:type="default" r:id="rId9"/>
      <w:footerReference w:type="even" r:id="rId10"/>
      <w:footerReference w:type="default" r:id="rId11"/>
      <w:headerReference w:type="first" r:id="rId12"/>
      <w:footerReference w:type="first" r:id="rId13"/>
      <w:pgSz w:w="11906" w:h="16838"/>
      <w:pgMar w:top="465" w:right="1134" w:bottom="1134" w:left="1134" w:header="0" w:footer="73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CD0" w:rsidRDefault="004D1CD0" w:rsidP="00A952A6">
      <w:pPr>
        <w:spacing w:after="0" w:line="240" w:lineRule="auto"/>
      </w:pPr>
      <w:r>
        <w:separator/>
      </w:r>
    </w:p>
  </w:endnote>
  <w:endnote w:type="continuationSeparator" w:id="0">
    <w:p w:rsidR="004D1CD0" w:rsidRDefault="004D1CD0" w:rsidP="00A9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388" w:rsidRDefault="00D0338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388" w:rsidRDefault="00D0338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388" w:rsidRDefault="00D0338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CD0" w:rsidRDefault="004D1CD0" w:rsidP="00A952A6">
      <w:pPr>
        <w:spacing w:after="0" w:line="240" w:lineRule="auto"/>
      </w:pPr>
      <w:r>
        <w:separator/>
      </w:r>
    </w:p>
  </w:footnote>
  <w:footnote w:type="continuationSeparator" w:id="0">
    <w:p w:rsidR="004D1CD0" w:rsidRDefault="004D1CD0" w:rsidP="00A95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388" w:rsidRDefault="00D0338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2A6" w:rsidRDefault="00A952A6">
    <w:pPr>
      <w:pStyle w:val="Normale1"/>
      <w:widowControl w:val="0"/>
      <w:spacing w:before="709" w:after="0"/>
      <w:rPr>
        <w:sz w:val="24"/>
        <w:szCs w:val="24"/>
      </w:rPr>
    </w:pPr>
  </w:p>
  <w:tbl>
    <w:tblPr>
      <w:tblStyle w:val="a0"/>
      <w:tblW w:w="9854" w:type="dxa"/>
      <w:tblBorders>
        <w:top w:val="nil"/>
        <w:left w:val="nil"/>
        <w:bottom w:val="nil"/>
        <w:right w:val="nil"/>
        <w:insideH w:val="nil"/>
        <w:insideV w:val="nil"/>
      </w:tblBorders>
      <w:tblLayout w:type="fixed"/>
      <w:tblLook w:val="0400" w:firstRow="0" w:lastRow="0" w:firstColumn="0" w:lastColumn="0" w:noHBand="0" w:noVBand="1"/>
    </w:tblPr>
    <w:tblGrid>
      <w:gridCol w:w="9618"/>
      <w:gridCol w:w="236"/>
    </w:tblGrid>
    <w:tr w:rsidR="00A952A6">
      <w:tc>
        <w:tcPr>
          <w:tcW w:w="9632" w:type="dxa"/>
        </w:tcPr>
        <w:p w:rsidR="00A952A6" w:rsidRDefault="00A952A6">
          <w:pPr>
            <w:pStyle w:val="Normale1"/>
            <w:widowControl w:val="0"/>
            <w:spacing w:line="276" w:lineRule="auto"/>
            <w:rPr>
              <w:sz w:val="24"/>
              <w:szCs w:val="24"/>
            </w:rPr>
          </w:pPr>
        </w:p>
        <w:tbl>
          <w:tblPr>
            <w:tblStyle w:val="a"/>
            <w:tblW w:w="10008"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628"/>
            <w:gridCol w:w="5331"/>
            <w:gridCol w:w="2049"/>
          </w:tblGrid>
          <w:tr w:rsidR="00A952A6">
            <w:trPr>
              <w:trHeight w:val="740"/>
            </w:trPr>
            <w:tc>
              <w:tcPr>
                <w:tcW w:w="2628" w:type="dxa"/>
              </w:tcPr>
              <w:p w:rsidR="00A952A6" w:rsidRDefault="00842BC7">
                <w:pPr>
                  <w:pStyle w:val="Normale1"/>
                  <w:tabs>
                    <w:tab w:val="center" w:pos="4536"/>
                    <w:tab w:val="right" w:pos="9072"/>
                  </w:tabs>
                  <w:rPr>
                    <w:sz w:val="22"/>
                    <w:szCs w:val="22"/>
                  </w:rPr>
                </w:pPr>
                <w:r>
                  <w:rPr>
                    <w:noProof/>
                    <w:lang w:val="it-IT" w:eastAsia="it-IT"/>
                  </w:rPr>
                  <w:drawing>
                    <wp:anchor distT="0" distB="0" distL="114300" distR="114300" simplePos="0" relativeHeight="251658240" behindDoc="0" locked="0" layoutInCell="1" allowOverlap="1" wp14:anchorId="77FDC5C2" wp14:editId="5D989CEF">
                      <wp:simplePos x="0" y="0"/>
                      <wp:positionH relativeFrom="margin">
                        <wp:posOffset>-46989</wp:posOffset>
                      </wp:positionH>
                      <wp:positionV relativeFrom="paragraph">
                        <wp:posOffset>90170</wp:posOffset>
                      </wp:positionV>
                      <wp:extent cx="1239520" cy="356235"/>
                      <wp:effectExtent l="0" t="0" r="0" b="0"/>
                      <wp:wrapTopAndBottom distT="0" dist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239520" cy="356235"/>
                              </a:xfrm>
                              <a:prstGeom prst="rect">
                                <a:avLst/>
                              </a:prstGeom>
                              <a:ln/>
                            </pic:spPr>
                          </pic:pic>
                        </a:graphicData>
                      </a:graphic>
                    </wp:anchor>
                  </w:drawing>
                </w:r>
              </w:p>
            </w:tc>
            <w:tc>
              <w:tcPr>
                <w:tcW w:w="5331" w:type="dxa"/>
              </w:tcPr>
              <w:p w:rsidR="00A952A6" w:rsidRDefault="00A952A6">
                <w:pPr>
                  <w:pStyle w:val="Normale1"/>
                  <w:tabs>
                    <w:tab w:val="center" w:pos="4536"/>
                    <w:tab w:val="right" w:pos="9072"/>
                  </w:tabs>
                  <w:jc w:val="center"/>
                  <w:rPr>
                    <w:sz w:val="22"/>
                    <w:szCs w:val="22"/>
                  </w:rPr>
                </w:pPr>
              </w:p>
              <w:p w:rsidR="00A952A6" w:rsidRDefault="00842BC7">
                <w:pPr>
                  <w:pStyle w:val="Normale1"/>
                  <w:tabs>
                    <w:tab w:val="center" w:pos="4536"/>
                    <w:tab w:val="right" w:pos="9072"/>
                  </w:tabs>
                  <w:jc w:val="center"/>
                  <w:rPr>
                    <w:sz w:val="22"/>
                    <w:szCs w:val="22"/>
                  </w:rPr>
                </w:pPr>
                <w:r>
                  <w:rPr>
                    <w:sz w:val="22"/>
                    <w:szCs w:val="22"/>
                  </w:rPr>
                  <w:t xml:space="preserve">Project No </w:t>
                </w:r>
                <w:r>
                  <w:rPr>
                    <w:b/>
                    <w:sz w:val="22"/>
                    <w:szCs w:val="22"/>
                  </w:rPr>
                  <w:t>2016-1-BG01-KA202-023714</w:t>
                </w:r>
              </w:p>
            </w:tc>
            <w:tc>
              <w:tcPr>
                <w:tcW w:w="2049" w:type="dxa"/>
              </w:tcPr>
              <w:p w:rsidR="00A952A6" w:rsidRDefault="00842BC7">
                <w:pPr>
                  <w:pStyle w:val="Normale1"/>
                  <w:tabs>
                    <w:tab w:val="center" w:pos="4536"/>
                    <w:tab w:val="right" w:pos="9072"/>
                  </w:tabs>
                  <w:rPr>
                    <w:sz w:val="22"/>
                    <w:szCs w:val="22"/>
                  </w:rPr>
                </w:pPr>
                <w:r>
                  <w:rPr>
                    <w:noProof/>
                    <w:lang w:val="it-IT" w:eastAsia="it-IT"/>
                  </w:rPr>
                  <w:drawing>
                    <wp:anchor distT="0" distB="0" distL="114300" distR="114300" simplePos="0" relativeHeight="251659264" behindDoc="0" locked="0" layoutInCell="1" allowOverlap="1" wp14:anchorId="42C96799" wp14:editId="43982C34">
                      <wp:simplePos x="0" y="0"/>
                      <wp:positionH relativeFrom="margin">
                        <wp:posOffset>17500</wp:posOffset>
                      </wp:positionH>
                      <wp:positionV relativeFrom="paragraph">
                        <wp:posOffset>-4419</wp:posOffset>
                      </wp:positionV>
                      <wp:extent cx="574716" cy="451262"/>
                      <wp:effectExtent l="0" t="0" r="0" b="0"/>
                      <wp:wrapTopAndBottom distT="0" dist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574716" cy="451262"/>
                              </a:xfrm>
                              <a:prstGeom prst="rect">
                                <a:avLst/>
                              </a:prstGeom>
                              <a:ln/>
                            </pic:spPr>
                          </pic:pic>
                        </a:graphicData>
                      </a:graphic>
                    </wp:anchor>
                  </w:drawing>
                </w:r>
              </w:p>
            </w:tc>
          </w:tr>
        </w:tbl>
        <w:p w:rsidR="00A952A6" w:rsidRDefault="00A952A6">
          <w:pPr>
            <w:pStyle w:val="Normale1"/>
            <w:spacing w:before="360"/>
          </w:pPr>
        </w:p>
      </w:tc>
      <w:tc>
        <w:tcPr>
          <w:tcW w:w="222" w:type="dxa"/>
        </w:tcPr>
        <w:p w:rsidR="00A952A6" w:rsidRDefault="00A952A6">
          <w:pPr>
            <w:pStyle w:val="Normale1"/>
            <w:spacing w:before="600"/>
            <w:jc w:val="right"/>
          </w:pPr>
        </w:p>
      </w:tc>
    </w:tr>
  </w:tbl>
  <w:p w:rsidR="00A952A6" w:rsidRDefault="00A952A6">
    <w:pPr>
      <w:pStyle w:val="Normale1"/>
      <w:tabs>
        <w:tab w:val="center" w:pos="4536"/>
        <w:tab w:val="right" w:pos="9072"/>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388" w:rsidRDefault="00D0338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1298"/>
    <w:multiLevelType w:val="hybridMultilevel"/>
    <w:tmpl w:val="B3DC7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0B02D55"/>
    <w:multiLevelType w:val="hybridMultilevel"/>
    <w:tmpl w:val="D39EF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52A6"/>
    <w:rsid w:val="001B5E8E"/>
    <w:rsid w:val="00200ED9"/>
    <w:rsid w:val="00351409"/>
    <w:rsid w:val="00354D43"/>
    <w:rsid w:val="003C4AF6"/>
    <w:rsid w:val="004D1CD0"/>
    <w:rsid w:val="00681B20"/>
    <w:rsid w:val="00842BC7"/>
    <w:rsid w:val="0096437A"/>
    <w:rsid w:val="00A952A6"/>
    <w:rsid w:val="00D03388"/>
    <w:rsid w:val="00D80D68"/>
    <w:rsid w:val="00E97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1B20"/>
  </w:style>
  <w:style w:type="paragraph" w:styleId="Titolo1">
    <w:name w:val="heading 1"/>
    <w:basedOn w:val="Normale1"/>
    <w:next w:val="Normale1"/>
    <w:rsid w:val="00A952A6"/>
    <w:pPr>
      <w:keepNext/>
      <w:spacing w:before="480"/>
      <w:ind w:left="720" w:hanging="360"/>
      <w:outlineLvl w:val="0"/>
    </w:pPr>
    <w:rPr>
      <w:rFonts w:ascii="Palatino Linotype" w:eastAsia="Palatino Linotype" w:hAnsi="Palatino Linotype" w:cs="Palatino Linotype"/>
      <w:b/>
      <w:smallCaps/>
      <w:sz w:val="28"/>
      <w:szCs w:val="28"/>
    </w:rPr>
  </w:style>
  <w:style w:type="paragraph" w:styleId="Titolo2">
    <w:name w:val="heading 2"/>
    <w:basedOn w:val="Normale1"/>
    <w:next w:val="Normale1"/>
    <w:rsid w:val="00A952A6"/>
    <w:pPr>
      <w:keepNext/>
      <w:spacing w:before="240" w:after="60"/>
      <w:outlineLvl w:val="1"/>
    </w:pPr>
    <w:rPr>
      <w:b/>
      <w:i/>
      <w:sz w:val="28"/>
      <w:szCs w:val="28"/>
    </w:rPr>
  </w:style>
  <w:style w:type="paragraph" w:styleId="Titolo3">
    <w:name w:val="heading 3"/>
    <w:basedOn w:val="Normale1"/>
    <w:next w:val="Normale1"/>
    <w:rsid w:val="00A952A6"/>
    <w:pPr>
      <w:keepNext/>
      <w:keepLines/>
      <w:spacing w:before="240"/>
      <w:ind w:left="1224" w:right="72" w:hanging="432"/>
      <w:outlineLvl w:val="2"/>
    </w:pPr>
    <w:rPr>
      <w:rFonts w:ascii="Times" w:eastAsia="Times" w:hAnsi="Times" w:cs="Times"/>
      <w:b/>
    </w:rPr>
  </w:style>
  <w:style w:type="paragraph" w:styleId="Titolo4">
    <w:name w:val="heading 4"/>
    <w:basedOn w:val="Normale1"/>
    <w:next w:val="Normale1"/>
    <w:rsid w:val="00A952A6"/>
    <w:pPr>
      <w:keepNext/>
      <w:keepLines/>
      <w:spacing w:before="240"/>
      <w:ind w:left="1584" w:right="72" w:hanging="720"/>
      <w:outlineLvl w:val="3"/>
    </w:pPr>
    <w:rPr>
      <w:rFonts w:ascii="Times" w:eastAsia="Times" w:hAnsi="Times" w:cs="Times"/>
      <w:b/>
    </w:rPr>
  </w:style>
  <w:style w:type="paragraph" w:styleId="Titolo5">
    <w:name w:val="heading 5"/>
    <w:basedOn w:val="Normale1"/>
    <w:next w:val="Normale1"/>
    <w:rsid w:val="00A952A6"/>
    <w:pPr>
      <w:keepNext/>
      <w:keepLines/>
      <w:spacing w:before="220" w:after="40"/>
      <w:outlineLvl w:val="4"/>
    </w:pPr>
    <w:rPr>
      <w:b/>
    </w:rPr>
  </w:style>
  <w:style w:type="paragraph" w:styleId="Titolo6">
    <w:name w:val="heading 6"/>
    <w:basedOn w:val="Normale1"/>
    <w:next w:val="Normale1"/>
    <w:rsid w:val="00A952A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A952A6"/>
  </w:style>
  <w:style w:type="paragraph" w:styleId="Titolo">
    <w:name w:val="Title"/>
    <w:basedOn w:val="Normale1"/>
    <w:next w:val="Normale1"/>
    <w:rsid w:val="00A952A6"/>
    <w:pPr>
      <w:spacing w:after="300" w:line="240" w:lineRule="auto"/>
    </w:pPr>
    <w:rPr>
      <w:smallCaps/>
      <w:sz w:val="52"/>
      <w:szCs w:val="52"/>
    </w:rPr>
  </w:style>
  <w:style w:type="paragraph" w:styleId="Sottotitolo">
    <w:name w:val="Subtitle"/>
    <w:basedOn w:val="Normale1"/>
    <w:next w:val="Normale1"/>
    <w:rsid w:val="00A952A6"/>
    <w:pPr>
      <w:keepNext/>
      <w:keepLines/>
      <w:spacing w:before="360" w:after="80"/>
    </w:pPr>
    <w:rPr>
      <w:rFonts w:ascii="Georgia" w:eastAsia="Georgia" w:hAnsi="Georgia" w:cs="Georgia"/>
      <w:i/>
      <w:color w:val="666666"/>
      <w:sz w:val="48"/>
      <w:szCs w:val="48"/>
    </w:rPr>
  </w:style>
  <w:style w:type="table" w:customStyle="1" w:styleId="a">
    <w:basedOn w:val="Tabellanormale"/>
    <w:rsid w:val="00A952A6"/>
    <w:pPr>
      <w:spacing w:after="0" w:line="240" w:lineRule="auto"/>
    </w:pPr>
    <w:rPr>
      <w:sz w:val="20"/>
      <w:szCs w:val="20"/>
    </w:rPr>
    <w:tblPr>
      <w:tblStyleRowBandSize w:val="1"/>
      <w:tblStyleColBandSize w:val="1"/>
    </w:tblPr>
  </w:style>
  <w:style w:type="table" w:customStyle="1" w:styleId="a0">
    <w:basedOn w:val="Tabellanormale"/>
    <w:rsid w:val="00A952A6"/>
    <w:pPr>
      <w:spacing w:after="0" w:line="240" w:lineRule="auto"/>
    </w:pPr>
    <w:rPr>
      <w:sz w:val="20"/>
      <w:szCs w:val="20"/>
    </w:rPr>
    <w:tblPr>
      <w:tblStyleRowBandSize w:val="1"/>
      <w:tblStyleColBandSize w:val="1"/>
    </w:tblPr>
  </w:style>
  <w:style w:type="paragraph" w:styleId="Testocommento">
    <w:name w:val="annotation text"/>
    <w:basedOn w:val="Normale"/>
    <w:link w:val="TestocommentoCarattere"/>
    <w:uiPriority w:val="99"/>
    <w:semiHidden/>
    <w:unhideWhenUsed/>
    <w:rsid w:val="00A952A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952A6"/>
    <w:rPr>
      <w:sz w:val="20"/>
      <w:szCs w:val="20"/>
    </w:rPr>
  </w:style>
  <w:style w:type="character" w:styleId="Rimandocommento">
    <w:name w:val="annotation reference"/>
    <w:basedOn w:val="Carpredefinitoparagrafo"/>
    <w:uiPriority w:val="99"/>
    <w:semiHidden/>
    <w:unhideWhenUsed/>
    <w:rsid w:val="00A952A6"/>
    <w:rPr>
      <w:sz w:val="16"/>
      <w:szCs w:val="16"/>
    </w:rPr>
  </w:style>
  <w:style w:type="paragraph" w:styleId="Testofumetto">
    <w:name w:val="Balloon Text"/>
    <w:basedOn w:val="Normale"/>
    <w:link w:val="TestofumettoCarattere"/>
    <w:uiPriority w:val="99"/>
    <w:semiHidden/>
    <w:unhideWhenUsed/>
    <w:rsid w:val="00E97B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7BBC"/>
    <w:rPr>
      <w:rFonts w:ascii="Tahoma" w:hAnsi="Tahoma" w:cs="Tahoma"/>
      <w:sz w:val="16"/>
      <w:szCs w:val="16"/>
    </w:rPr>
  </w:style>
  <w:style w:type="paragraph" w:styleId="Paragrafoelenco">
    <w:name w:val="List Paragraph"/>
    <w:basedOn w:val="Normale"/>
    <w:uiPriority w:val="34"/>
    <w:qFormat/>
    <w:rsid w:val="00D03388"/>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lang w:eastAsia="en-US"/>
    </w:rPr>
  </w:style>
  <w:style w:type="paragraph" w:styleId="Intestazione">
    <w:name w:val="header"/>
    <w:basedOn w:val="Normale"/>
    <w:link w:val="IntestazioneCarattere"/>
    <w:uiPriority w:val="99"/>
    <w:unhideWhenUsed/>
    <w:rsid w:val="00D033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3388"/>
  </w:style>
  <w:style w:type="paragraph" w:styleId="Pidipagina">
    <w:name w:val="footer"/>
    <w:basedOn w:val="Normale"/>
    <w:link w:val="PidipaginaCarattere"/>
    <w:uiPriority w:val="99"/>
    <w:unhideWhenUsed/>
    <w:rsid w:val="00D033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33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CIST</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Federica</cp:lastModifiedBy>
  <cp:revision>3</cp:revision>
  <dcterms:created xsi:type="dcterms:W3CDTF">2017-09-13T07:51:00Z</dcterms:created>
  <dcterms:modified xsi:type="dcterms:W3CDTF">2018-07-20T12:24:00Z</dcterms:modified>
</cp:coreProperties>
</file>