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120" w:after="0"/>
        <w:jc w:val="center"/>
        <w:rPr>
          <w:b/>
          <w:smallCaps/>
          <w:shadow/>
          <w:sz w:val="36"/>
          <w:szCs w:val="36"/>
          <w:lang w:val="bg-BG" w:eastAsia="en-GB"/>
        </w:rPr>
      </w:pPr>
      <w:r>
        <w:rPr>
          <w:b/>
          <w:smallCaps/>
          <w:shadow/>
          <w:sz w:val="36"/>
          <w:szCs w:val="36"/>
          <w:lang w:val="bg-BG" w:eastAsia="en-GB"/>
        </w:rPr>
        <w:t>Резюме</w:t>
      </w:r>
    </w:p>
    <w:p>
      <w:pPr>
        <w:pStyle w:val="Normal"/>
        <w:jc w:val="center"/>
        <w:rPr>
          <w:b/>
          <w:smallCaps/>
          <w:shadow/>
          <w:shd w:fill="FFFF00" w:val="clear"/>
          <w:lang w:val="bg-BG" w:eastAsia="en-GB"/>
        </w:rPr>
      </w:pPr>
      <w:r>
        <w:rPr>
          <w:b/>
          <w:smallCaps/>
          <w:shadow/>
          <w:shd w:fill="FFFF00" w:val="clear"/>
          <w:lang w:val="bg-BG" w:eastAsia="en-GB"/>
        </w:rPr>
        <w:t xml:space="preserve">Подпомагане на училищните съвети в предоставянето на специални образователни услуги за ученици с хиперактивност и дефицит на вниманието (ХДВ) </w:t>
      </w:r>
    </w:p>
    <w:p>
      <w:pPr>
        <w:pStyle w:val="Normal"/>
        <w:jc w:val="center"/>
        <w:rPr>
          <w:b/>
          <w:smallCaps/>
          <w:shadow/>
          <w:sz w:val="36"/>
          <w:szCs w:val="36"/>
          <w:lang w:val="en-GB" w:eastAsia="en-GB"/>
        </w:rPr>
      </w:pPr>
      <w:r>
        <w:rPr>
          <w:b/>
          <w:smallCaps/>
          <w:shadow/>
          <w:sz w:val="36"/>
          <w:szCs w:val="36"/>
          <w:lang w:val="en-GB" w:eastAsia="en-GB"/>
        </w:rPr>
      </w:r>
    </w:p>
    <w:p>
      <w:pPr>
        <w:pStyle w:val="Normal"/>
        <w:spacing w:before="60" w:after="60"/>
        <w:rPr>
          <w:lang w:val="bg-BG" w:eastAsia="en-GB"/>
        </w:rPr>
      </w:pPr>
      <w:r>
        <w:rPr>
          <w:lang w:val="bg-BG" w:eastAsia="en-GB"/>
        </w:rPr>
        <w:t>Насоките за осигуряване на качество и за подобряване на системите за осигуряване на качество в професионалното образование и обучение (ПОО) отразяват съответни политики, процедури и индикатори за подпомагане на приобщаващото образование в професионалните училища на ученици със специални образователни потребности и по-специално, на ученици с хиперактивност и дефицит на вниманието (ХДВ).</w:t>
      </w:r>
    </w:p>
    <w:p>
      <w:pPr>
        <w:pStyle w:val="Normal"/>
        <w:spacing w:before="60" w:after="60"/>
        <w:rPr>
          <w:lang w:val="bg-BG" w:eastAsia="en-GB"/>
        </w:rPr>
      </w:pPr>
      <w:r>
        <w:rPr>
          <w:lang w:val="bg-BG" w:eastAsia="en-GB"/>
        </w:rPr>
        <w:t>По-специално, насоките са концентрирани върху:</w:t>
      </w:r>
    </w:p>
    <w:p>
      <w:pPr>
        <w:pStyle w:val="ListParagraph"/>
        <w:numPr>
          <w:ilvl w:val="0"/>
          <w:numId w:val="1"/>
        </w:numPr>
        <w:spacing w:before="60" w:after="60"/>
        <w:contextualSpacing/>
        <w:rPr>
          <w:rFonts w:ascii="Garamond" w:hAnsi="Garamond"/>
          <w:sz w:val="24"/>
          <w:szCs w:val="24"/>
          <w:lang w:val="bg-BG" w:eastAsia="en-GB"/>
        </w:rPr>
      </w:pPr>
      <w:r>
        <w:rPr>
          <w:rFonts w:ascii="Garamond" w:hAnsi="Garamond"/>
          <w:sz w:val="24"/>
          <w:szCs w:val="24"/>
          <w:lang w:val="bg-BG" w:eastAsia="en-GB"/>
        </w:rPr>
        <w:t>осигуряване на подкрепа за институциите, предоставящи ПОО, да изградят новаторски и гъвкави учебни среди чрез разширяване на образователните практики, предназначени за ученици със специални образователни потребности (СОП) и особено за такива с ХДВ;</w:t>
      </w:r>
    </w:p>
    <w:p>
      <w:pPr>
        <w:pStyle w:val="ListParagraph"/>
        <w:numPr>
          <w:ilvl w:val="0"/>
          <w:numId w:val="1"/>
        </w:numPr>
        <w:spacing w:before="60" w:after="60"/>
        <w:contextualSpacing/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sz w:val="24"/>
          <w:szCs w:val="24"/>
          <w:lang w:val="bg-BG"/>
        </w:rPr>
        <w:t>засилване на участието, ангажираността и постиженията на учениците с ХДВ;</w:t>
      </w:r>
    </w:p>
    <w:p>
      <w:pPr>
        <w:pStyle w:val="ListParagraph"/>
        <w:numPr>
          <w:ilvl w:val="0"/>
          <w:numId w:val="1"/>
        </w:numPr>
        <w:spacing w:before="60" w:after="60"/>
        <w:contextualSpacing/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sz w:val="24"/>
          <w:szCs w:val="24"/>
          <w:lang w:val="bg-BG"/>
        </w:rPr>
        <w:t>повишаване на качеството на подкрепата, предоставяна на учениците с ХДВ и техните семейства, особено в периоди на преход и трудности;</w:t>
      </w:r>
    </w:p>
    <w:p>
      <w:pPr>
        <w:pStyle w:val="ListParagraph"/>
        <w:numPr>
          <w:ilvl w:val="0"/>
          <w:numId w:val="1"/>
        </w:numPr>
        <w:spacing w:before="60" w:after="60"/>
        <w:contextualSpacing/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sz w:val="24"/>
          <w:szCs w:val="24"/>
          <w:lang w:val="bg-BG"/>
        </w:rPr>
        <w:t>внедряване на култура на партньорство между училищата и другите доставчици на образование/обучение за предоставянето на образователни услуги на ученици с различни образователни потребности;</w:t>
      </w:r>
    </w:p>
    <w:p>
      <w:pPr>
        <w:pStyle w:val="ListParagraph"/>
        <w:numPr>
          <w:ilvl w:val="0"/>
          <w:numId w:val="1"/>
        </w:numPr>
        <w:spacing w:before="60" w:after="60"/>
        <w:contextualSpacing/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sz w:val="24"/>
          <w:szCs w:val="24"/>
          <w:lang w:val="bg-BG"/>
        </w:rPr>
        <w:t>повишаване на положителното психическо, социално и емоционално благополучие на училищния персонал и на обучаваните с фокус върху учениците със СОП.</w:t>
      </w:r>
    </w:p>
    <w:p>
      <w:pPr>
        <w:pStyle w:val="Normal"/>
        <w:spacing w:before="60" w:after="60"/>
        <w:rPr>
          <w:lang w:val="bg-BG"/>
        </w:rPr>
      </w:pPr>
      <w:r>
        <w:rPr>
          <w:lang w:val="bg-BG"/>
        </w:rPr>
        <w:t>Насоките засягат главно директори и училищен персонал например, помощник-директори, учители и възпитатели, училищни координатори, училищни съветници, координатори на учебни програми и специалисти в областта на образованието. Освен това, той може да бъде полезен и за други професионалисти в общностите в сферата на образованието, социалните услуги или здравеопазването, на родителите и на широката общественост.</w:t>
      </w:r>
    </w:p>
    <w:p>
      <w:pPr>
        <w:pStyle w:val="Normal"/>
        <w:spacing w:before="60" w:after="60"/>
        <w:rPr>
          <w:lang w:val="bg-BG"/>
        </w:rPr>
      </w:pPr>
      <w:r>
        <w:rPr>
          <w:lang w:val="bg-BG"/>
        </w:rPr>
        <w:t>Насоките за осигуряване на качеството са структурирани в две основни области:</w:t>
      </w:r>
    </w:p>
    <w:p>
      <w:pPr>
        <w:pStyle w:val="Normal"/>
        <w:spacing w:before="60" w:after="60"/>
        <w:rPr>
          <w:lang w:val="bg-BG"/>
        </w:rPr>
      </w:pPr>
      <w:r>
        <w:rPr>
          <w:lang w:val="bg-BG"/>
        </w:rPr>
        <w:t>1. Институционална политика и структура;</w:t>
      </w:r>
    </w:p>
    <w:p>
      <w:pPr>
        <w:pStyle w:val="Normal"/>
        <w:spacing w:before="60" w:after="60"/>
        <w:rPr>
          <w:lang w:val="bg-BG"/>
        </w:rPr>
      </w:pPr>
      <w:r>
        <w:rPr>
          <w:lang w:val="bg-BG"/>
        </w:rPr>
        <w:t>2. Учебни стратегии и практики.</w:t>
      </w:r>
    </w:p>
    <w:p>
      <w:pPr>
        <w:pStyle w:val="Normal"/>
        <w:spacing w:before="60" w:after="60"/>
        <w:rPr>
          <w:lang w:val="bg-BG"/>
        </w:rPr>
      </w:pPr>
      <w:r>
        <w:rPr>
          <w:lang w:val="bg-BG"/>
        </w:rPr>
        <w:t xml:space="preserve">По отношение на </w:t>
      </w:r>
      <w:r>
        <w:rPr>
          <w:b/>
          <w:lang w:val="bg-BG"/>
        </w:rPr>
        <w:t>първата област</w:t>
      </w:r>
      <w:r>
        <w:rPr>
          <w:lang w:val="bg-BG"/>
        </w:rPr>
        <w:t>, Насоките предоставят практически инструкции по следните теми:</w:t>
      </w:r>
    </w:p>
    <w:p>
      <w:pPr>
        <w:pStyle w:val="ListParagraph"/>
        <w:numPr>
          <w:ilvl w:val="0"/>
          <w:numId w:val="2"/>
        </w:numPr>
        <w:spacing w:before="60" w:after="60"/>
        <w:contextualSpacing/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sz w:val="24"/>
          <w:szCs w:val="24"/>
          <w:lang w:val="bg-BG"/>
        </w:rPr>
        <w:t>Определяне</w:t>
      </w:r>
      <w:r>
        <w:rPr>
          <w:rFonts w:ascii="Garamond" w:hAnsi="Garamond"/>
          <w:b/>
          <w:sz w:val="24"/>
          <w:szCs w:val="24"/>
          <w:lang w:val="bg-BG"/>
        </w:rPr>
        <w:t xml:space="preserve"> мисията и визията</w:t>
      </w:r>
      <w:r>
        <w:rPr>
          <w:rFonts w:ascii="Garamond" w:hAnsi="Garamond"/>
          <w:sz w:val="24"/>
          <w:szCs w:val="24"/>
          <w:lang w:val="bg-BG"/>
        </w:rPr>
        <w:t xml:space="preserve"> на институциите, включително концепцията за специални образователни програми и услуги;</w:t>
      </w:r>
    </w:p>
    <w:p>
      <w:pPr>
        <w:pStyle w:val="ListParagraph"/>
        <w:numPr>
          <w:ilvl w:val="0"/>
          <w:numId w:val="2"/>
        </w:numPr>
        <w:spacing w:before="60" w:after="60"/>
        <w:contextualSpacing/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sz w:val="24"/>
          <w:szCs w:val="24"/>
          <w:lang w:val="bg-BG"/>
        </w:rPr>
        <w:t>Определяне на</w:t>
      </w:r>
      <w:r>
        <w:rPr>
          <w:rFonts w:ascii="Garamond" w:hAnsi="Garamond"/>
          <w:b/>
          <w:sz w:val="24"/>
          <w:szCs w:val="24"/>
          <w:lang w:val="bg-BG"/>
        </w:rPr>
        <w:t xml:space="preserve"> ролите и отговорностите</w:t>
      </w:r>
      <w:r>
        <w:rPr>
          <w:rFonts w:ascii="Garamond" w:hAnsi="Garamond"/>
          <w:sz w:val="24"/>
          <w:szCs w:val="24"/>
          <w:lang w:val="bg-BG"/>
        </w:rPr>
        <w:t xml:space="preserve"> на училищните съвети, областния и училищния персонал, родителите и студентите в разработването и изпълнението на специални образователни услуги;</w:t>
      </w:r>
    </w:p>
    <w:p>
      <w:pPr>
        <w:pStyle w:val="ListParagraph"/>
        <w:numPr>
          <w:ilvl w:val="0"/>
          <w:numId w:val="2"/>
        </w:numPr>
        <w:spacing w:before="60" w:after="60"/>
        <w:contextualSpacing/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sz w:val="24"/>
          <w:szCs w:val="24"/>
          <w:lang w:val="bg-BG"/>
        </w:rPr>
        <w:t xml:space="preserve">Описване на </w:t>
      </w:r>
      <w:r>
        <w:rPr>
          <w:rFonts w:ascii="Garamond" w:hAnsi="Garamond"/>
          <w:b/>
          <w:sz w:val="24"/>
          <w:szCs w:val="24"/>
          <w:lang w:val="bg-BG"/>
        </w:rPr>
        <w:t>индивидуалния образователен план</w:t>
      </w:r>
      <w:r>
        <w:rPr>
          <w:rFonts w:ascii="Garamond" w:hAnsi="Garamond"/>
          <w:sz w:val="24"/>
          <w:szCs w:val="24"/>
          <w:lang w:val="bg-BG"/>
        </w:rPr>
        <w:t xml:space="preserve"> (ИОП), като процес на идентифициране на ученици, които имат специални нужди, планиране и изпълнение на индивидуални програми за тях и оценка и докладване на техния напредък;</w:t>
      </w:r>
    </w:p>
    <w:p>
      <w:pPr>
        <w:pStyle w:val="ListParagraph"/>
        <w:numPr>
          <w:ilvl w:val="0"/>
          <w:numId w:val="2"/>
        </w:numPr>
        <w:spacing w:before="60" w:after="60"/>
        <w:contextualSpacing/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sz w:val="24"/>
          <w:szCs w:val="24"/>
          <w:lang w:val="bg-BG"/>
        </w:rPr>
        <w:t xml:space="preserve">Дефиниране на </w:t>
      </w:r>
      <w:r>
        <w:rPr>
          <w:rFonts w:ascii="Garamond" w:hAnsi="Garamond"/>
          <w:b/>
          <w:sz w:val="24"/>
          <w:szCs w:val="24"/>
          <w:lang w:val="bg-BG"/>
        </w:rPr>
        <w:t>специални услуги</w:t>
      </w:r>
      <w:r>
        <w:rPr>
          <w:rFonts w:ascii="Garamond" w:hAnsi="Garamond"/>
          <w:sz w:val="24"/>
          <w:szCs w:val="24"/>
          <w:lang w:val="bg-BG"/>
        </w:rPr>
        <w:t>, които трябва да се предлагат в училище, за да подкрепят приобщаващото образование.</w:t>
      </w:r>
    </w:p>
    <w:p>
      <w:pPr>
        <w:pStyle w:val="Normal"/>
        <w:spacing w:before="60" w:after="60"/>
        <w:rPr>
          <w:lang w:val="bg-BG"/>
        </w:rPr>
      </w:pPr>
      <w:r>
        <w:rPr>
          <w:lang w:val="bg-BG"/>
        </w:rPr>
        <w:t xml:space="preserve">Във връзка с </w:t>
      </w:r>
      <w:r>
        <w:rPr>
          <w:b/>
          <w:lang w:val="bg-BG"/>
        </w:rPr>
        <w:t>втората област</w:t>
      </w:r>
      <w:r>
        <w:rPr>
          <w:lang w:val="bg-BG"/>
        </w:rPr>
        <w:t>, Насоките предоставят указания за:</w:t>
      </w:r>
    </w:p>
    <w:p>
      <w:pPr>
        <w:pStyle w:val="ListParagraph"/>
        <w:numPr>
          <w:ilvl w:val="0"/>
          <w:numId w:val="2"/>
        </w:numPr>
        <w:spacing w:before="60" w:after="60"/>
        <w:contextualSpacing/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b/>
          <w:sz w:val="24"/>
          <w:szCs w:val="24"/>
          <w:lang w:val="bg-BG"/>
        </w:rPr>
        <w:t>Идентифициране на учениците с ХДВ</w:t>
      </w:r>
      <w:r>
        <w:rPr>
          <w:rFonts w:ascii="Garamond" w:hAnsi="Garamond"/>
          <w:sz w:val="24"/>
          <w:szCs w:val="24"/>
          <w:lang w:val="bg-BG"/>
        </w:rPr>
        <w:t>: списък с поведенчески прояви, свързани с ХДВ;</w:t>
      </w:r>
    </w:p>
    <w:p>
      <w:pPr>
        <w:pStyle w:val="ListParagraph"/>
        <w:numPr>
          <w:ilvl w:val="0"/>
          <w:numId w:val="2"/>
        </w:numPr>
        <w:spacing w:before="60" w:after="60"/>
        <w:contextualSpacing/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sz w:val="24"/>
          <w:szCs w:val="24"/>
          <w:lang w:val="bg-BG"/>
        </w:rPr>
        <w:t>Разработването на</w:t>
      </w:r>
      <w:r>
        <w:rPr>
          <w:rFonts w:ascii="Garamond" w:hAnsi="Garamond"/>
          <w:b/>
          <w:sz w:val="24"/>
          <w:szCs w:val="24"/>
          <w:lang w:val="bg-BG"/>
        </w:rPr>
        <w:t xml:space="preserve"> Стратегия за обучение на ученици с ХДВ</w:t>
      </w:r>
      <w:r>
        <w:rPr>
          <w:rFonts w:ascii="Garamond" w:hAnsi="Garamond"/>
          <w:sz w:val="24"/>
          <w:szCs w:val="24"/>
          <w:lang w:val="bg-BG"/>
        </w:rPr>
        <w:t>: очертаване на правила и инструкции за преподаване на ученици с ХДВ по отношение на поведенчески интервенции и настаняване в клас (специални уроци за учениците с ХДВ в класната стая);</w:t>
      </w:r>
    </w:p>
    <w:p>
      <w:pPr>
        <w:pStyle w:val="ListParagraph"/>
        <w:numPr>
          <w:ilvl w:val="0"/>
          <w:numId w:val="2"/>
        </w:numPr>
        <w:spacing w:before="60" w:after="60"/>
        <w:contextualSpacing/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b/>
          <w:sz w:val="24"/>
          <w:szCs w:val="24"/>
          <w:lang w:val="bg-BG"/>
        </w:rPr>
        <w:t>Настаняване на ученици с ХДВ като стажанти</w:t>
      </w:r>
      <w:r>
        <w:rPr>
          <w:rFonts w:ascii="Garamond" w:hAnsi="Garamond"/>
          <w:sz w:val="24"/>
          <w:szCs w:val="24"/>
          <w:lang w:val="bg-BG"/>
        </w:rPr>
        <w:t>: представя специални процедури и стратегии за настаняване на ХДВ ученици с професионална подготовка, така че да ги  подготви за включване в пазара на труда, като им осигурява специални работни стажове и подготовка за трудово устройване.</w:t>
      </w:r>
    </w:p>
    <w:p>
      <w:pPr>
        <w:pStyle w:val="Normal"/>
        <w:widowControl/>
        <w:bidi w:val="0"/>
        <w:spacing w:before="120" w:after="120"/>
        <w:jc w:val="both"/>
        <w:rPr>
          <w:lang w:val="bg-BG"/>
        </w:rPr>
      </w:pPr>
      <w:r>
        <w:rPr>
          <w:lang w:val="bg-BG"/>
        </w:rPr>
        <w:t>Насоките завършват с допълнителни указания и инструменти, структурирани в конкретен анекс и предназначени да подпомогнат училищния персонал в разработването на училищна политика за приобщаващо образование за ученици с различни образователни потребности.</w:t>
      </w:r>
    </w:p>
    <w:sectPr>
      <w:headerReference w:type="default" r:id="rId2"/>
      <w:footerReference w:type="default" r:id="rId3"/>
      <w:type w:val="nextPage"/>
      <w:pgSz w:w="11906" w:h="16838"/>
      <w:pgMar w:left="1152" w:right="1152" w:header="0" w:top="1152" w:footer="0" w:bottom="1152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Garamond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  <w:font w:name="Garamond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spacing w:before="120" w:after="12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Footer"/>
      <w:tabs>
        <w:tab w:val="center" w:pos="4536" w:leader="none"/>
        <w:tab w:val="right" w:pos="9072" w:leader="none"/>
      </w:tabs>
      <w:spacing w:before="120" w:after="1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spacing w:before="120" w:after="120"/>
      <w:rPr>
        <w:lang w:val="en-GB"/>
      </w:rPr>
    </w:pPr>
    <w:r>
      <w:rPr>
        <w:lang w:val="en-GB"/>
      </w:rPr>
    </w:r>
  </w:p>
  <w:tbl>
    <w:tblPr>
      <w:jc w:val="left"/>
      <w:tblInd w:w="0" w:type="dxa"/>
      <w:tblBorders>
        <w:top w:val="nil"/>
        <w:left w:val="nil"/>
        <w:bottom w:val="single" w:sz="4" w:space="0" w:color="00000A"/>
        <w:insideH w:val="single" w:sz="4" w:space="0" w:color="00000A"/>
        <w:right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3257"/>
      <w:gridCol w:w="4410"/>
      <w:gridCol w:w="1801"/>
    </w:tblGrid>
    <w:tr>
      <w:trPr>
        <w:trHeight w:val="895" w:hRule="atLeast"/>
        <w:cantSplit w:val="false"/>
      </w:trPr>
      <w:tc>
        <w:tcPr>
          <w:tcW w:w="3257" w:type="dxa"/>
          <w:tcBorders>
            <w:top w:val="nil"/>
            <w:left w:val="nil"/>
            <w:bottom w:val="single" w:sz="4" w:space="0" w:color="00000A"/>
            <w:insideH w:val="single" w:sz="4" w:space="0" w:color="00000A"/>
            <w:right w:val="nil"/>
            <w:insideV w:val="nil"/>
          </w:tcBorders>
          <w:shd w:fill="auto" w:val="clear"/>
        </w:tcPr>
        <w:p>
          <w:pPr>
            <w:pStyle w:val="Normal"/>
            <w:spacing w:before="0" w:after="120"/>
            <w:rPr/>
          </w:pPr>
          <w:r>
            <w:rPr/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-1624965</wp:posOffset>
                </wp:positionH>
                <wp:positionV relativeFrom="paragraph">
                  <wp:posOffset>154940</wp:posOffset>
                </wp:positionV>
                <wp:extent cx="1485900" cy="323850"/>
                <wp:effectExtent l="0" t="0" r="0" b="0"/>
                <wp:wrapSquare wrapText="bothSides"/>
                <wp:docPr id="0" name="Picture" descr="logosbeneficaireserasmusrightfund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logosbeneficaireserasmusrightfund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0" w:type="dxa"/>
          <w:tcBorders>
            <w:top w:val="nil"/>
            <w:left w:val="nil"/>
            <w:bottom w:val="single" w:sz="4" w:space="0" w:color="00000A"/>
            <w:insideH w:val="single" w:sz="4" w:space="0" w:color="00000A"/>
            <w:right w:val="nil"/>
            <w:insideV w:val="nil"/>
          </w:tcBorders>
          <w:shd w:fill="auto" w:val="clear"/>
        </w:tcPr>
        <w:p>
          <w:pPr>
            <w:pStyle w:val="Normal"/>
            <w:spacing w:before="0" w:after="0"/>
            <w:jc w:val="right"/>
            <w:rPr>
              <w:rFonts w:eastAsia="Calibri"/>
              <w:shadow/>
              <w:lang w:val="en-US"/>
            </w:rPr>
          </w:pPr>
          <w:r>
            <w:rPr>
              <w:rFonts w:eastAsia="Calibri"/>
              <w:shadow/>
              <w:lang w:val="en-US"/>
            </w:rPr>
          </w:r>
        </w:p>
        <w:p>
          <w:pPr>
            <w:pStyle w:val="Normal"/>
            <w:spacing w:before="0" w:after="0"/>
            <w:jc w:val="center"/>
            <w:rPr>
              <w:rFonts w:eastAsia="Calibri"/>
              <w:shadow/>
              <w:lang w:val="en-US"/>
            </w:rPr>
          </w:pPr>
          <w:r>
            <w:rPr>
              <w:rFonts w:eastAsia="Calibri"/>
              <w:shadow/>
              <w:lang w:val="en-US"/>
            </w:rPr>
          </w:r>
        </w:p>
        <w:p>
          <w:pPr>
            <w:pStyle w:val="Normal"/>
            <w:spacing w:before="0" w:after="0"/>
            <w:jc w:val="center"/>
            <w:rPr>
              <w:rFonts w:eastAsia="Calibri"/>
              <w:shadow/>
              <w:lang w:val="en-US"/>
            </w:rPr>
          </w:pPr>
          <w:r>
            <w:rPr>
              <w:rFonts w:eastAsia="Calibri"/>
              <w:shadow/>
              <w:lang w:val="en-US"/>
            </w:rPr>
            <w:t>Project: 2016-1-BG01-KA202-023714</w:t>
          </w:r>
        </w:p>
      </w:tc>
      <w:tc>
        <w:tcPr>
          <w:tcW w:w="1801" w:type="dxa"/>
          <w:tcBorders>
            <w:top w:val="nil"/>
            <w:left w:val="nil"/>
            <w:bottom w:val="single" w:sz="4" w:space="0" w:color="00000A"/>
            <w:insideH w:val="single" w:sz="4" w:space="0" w:color="00000A"/>
            <w:right w:val="nil"/>
            <w:insideV w:val="nil"/>
          </w:tcBorders>
          <w:shd w:fill="auto" w:val="clear"/>
        </w:tcPr>
        <w:p>
          <w:pPr>
            <w:pStyle w:val="Normal"/>
            <w:spacing w:before="0" w:after="0"/>
            <w:jc w:val="right"/>
            <w:rPr>
              <w:rFonts w:eastAsia="Calibri"/>
              <w:shadow/>
              <w:lang w:val="en-US"/>
            </w:rPr>
          </w:pPr>
          <w:r>
            <w:rPr>
              <w:rFonts w:eastAsia="Calibri"/>
              <w:shadow/>
              <w:lang w:val="en-US"/>
            </w:rPr>
            <w:drawing>
              <wp:anchor behindDoc="1" distT="0" distB="0" distL="114300" distR="114300" simplePos="0" locked="0" layoutInCell="1" allowOverlap="1" relativeHeight="1">
                <wp:simplePos x="0" y="0"/>
                <wp:positionH relativeFrom="column">
                  <wp:posOffset>1098550</wp:posOffset>
                </wp:positionH>
                <wp:positionV relativeFrom="paragraph">
                  <wp:posOffset>-13970</wp:posOffset>
                </wp:positionV>
                <wp:extent cx="562610" cy="447675"/>
                <wp:effectExtent l="0" t="0" r="0" b="0"/>
                <wp:wrapSquare wrapText="bothSides"/>
                <wp:docPr id="1" name="Picture" descr="Q4ADHD_logo_m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Q4ADHD_logo_mi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Header"/>
      <w:spacing w:before="120" w:after="120"/>
      <w:rPr>
        <w:sz w:val="8"/>
        <w:szCs w:val="8"/>
        <w:lang w:val="en-GB"/>
      </w:rPr>
    </w:pPr>
    <w:r>
      <w:rPr>
        <w:sz w:val="8"/>
        <w:szCs w:val="8"/>
        <w:lang w:val="en-GB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mbria" w:hAnsi="Cambria" w:eastAsia="Cambria" w:cs="Times New Roman"/>
        <w:lang w:val="fr-FR" w:eastAsia="fr-FR" w:bidi="ar-SA"/>
      </w:rPr>
    </w:rPrDefault>
    <w:pPrDefault>
      <w:pPr/>
    </w:pPrDefault>
  </w:docDefaults>
  <w:latentStyles w:defUnhideWhenUsed="1" w:count="267" w:defQFormat="0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qFormat="1" w:unhideWhenUsed="0" w:semiHidden="0" w:name="No Spacing"/>
    <w:lsdException w:unhideWhenUsed="0" w:name="Medium Grid 1"/>
    <w:lsdException w:qFormat="1" w:unhideWhenUsed="0" w:uiPriority="1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71" w:semiHidden="0" w:name="Revision"/>
    <w:lsdException w:qFormat="1" w:unhideWhenUsed="0" w:uiPriority="34" w:semiHidden="0" w:name="List Paragraph"/>
    <w:lsdException w:qFormat="1" w:unhideWhenUsed="0" w:uiPriority="73" w:semiHidden="0" w:name="Quote"/>
    <w:lsdException w:qFormat="1" w:unhideWhenUsed="0" w:uiPriority="60" w:semiHidden="0" w:name="Intense Quote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  <w:lsdException w:qFormat="1" w:unhideWhenUsed="0" w:uiPriority="65" w:semiHidden="0" w:name="Subtle Emphasis"/>
    <w:lsdException w:qFormat="1" w:unhideWhenUsed="0" w:uiPriority="66" w:semiHidden="0" w:name="Intense Emphasis"/>
    <w:lsdException w:qFormat="1" w:unhideWhenUsed="0" w:uiPriority="67" w:semiHidden="0" w:name="Subtle Reference"/>
    <w:lsdException w:qFormat="1" w:unhideWhenUsed="0" w:uiPriority="68" w:semiHidden="0" w:name="Intense Reference"/>
    <w:lsdException w:qFormat="1" w:unhideWhenUsed="0" w:uiPriority="69" w:semiHidden="0" w:name="Book Title"/>
    <w:lsdException w:unhideWhenUsed="0" w:uiPriority="70" w:semiHidden="0" w:name="Bibliography"/>
    <w:lsdException w:qFormat="1" w:uiPriority="71" w:name="TOC Heading"/>
  </w:latentStyles>
  <w:style w:type="paragraph" w:styleId="Normal" w:default="1">
    <w:name w:val="Normal"/>
    <w:qFormat/>
    <w:rsid w:val="00736998"/>
    <w:pPr>
      <w:widowControl/>
      <w:suppressAutoHyphens w:val="true"/>
      <w:bidi w:val="0"/>
      <w:spacing w:before="120" w:after="120"/>
      <w:jc w:val="both"/>
    </w:pPr>
    <w:rPr>
      <w:rFonts w:ascii="Garamond" w:hAnsi="Garamond" w:eastAsia="Cambria" w:cs="Times New Roman"/>
      <w:color w:val="auto"/>
      <w:sz w:val="24"/>
      <w:szCs w:val="24"/>
      <w:lang w:eastAsia="en-US" w:val="fr-F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erChar" w:customStyle="1">
    <w:name w:val="Header Char"/>
    <w:uiPriority w:val="99"/>
    <w:link w:val="Header"/>
    <w:rsid w:val="00250171"/>
    <w:basedOn w:val="DefaultParagraphFont"/>
    <w:rPr>
      <w:sz w:val="24"/>
      <w:szCs w:val="24"/>
      <w:lang w:eastAsia="en-US"/>
    </w:rPr>
  </w:style>
  <w:style w:type="character" w:styleId="FooterChar" w:customStyle="1">
    <w:name w:val="Footer Char"/>
    <w:uiPriority w:val="99"/>
    <w:link w:val="Footer"/>
    <w:rsid w:val="00250171"/>
    <w:basedOn w:val="DefaultParagraphFont"/>
    <w:rPr>
      <w:sz w:val="24"/>
      <w:szCs w:val="24"/>
      <w:lang w:eastAsia="en-US"/>
    </w:rPr>
  </w:style>
  <w:style w:type="character" w:styleId="Strong">
    <w:name w:val="Strong"/>
    <w:uiPriority w:val="22"/>
    <w:qFormat/>
    <w:rsid w:val="001242d1"/>
    <w:basedOn w:val="DefaultParagraphFont"/>
    <w:rPr>
      <w:b/>
      <w:bCs/>
    </w:rPr>
  </w:style>
  <w:style w:type="character" w:styleId="InternetLink">
    <w:name w:val="Internet Link"/>
    <w:uiPriority w:val="99"/>
    <w:unhideWhenUsed/>
    <w:rsid w:val="00ee15ca"/>
    <w:basedOn w:val="DefaultParagraphFont"/>
    <w:rPr>
      <w:color w:val="0000FF"/>
      <w:u w:val="single"/>
      <w:lang w:val="zxx" w:eastAsia="zxx" w:bidi="zxx"/>
    </w:rPr>
  </w:style>
  <w:style w:type="character" w:styleId="BalloonTextChar" w:customStyle="1">
    <w:name w:val="Balloon Text Char"/>
    <w:uiPriority w:val="99"/>
    <w:semiHidden/>
    <w:link w:val="BalloonText"/>
    <w:rsid w:val="002131b4"/>
    <w:basedOn w:val="DefaultParagraphFont"/>
    <w:rPr>
      <w:rFonts w:ascii="Tahoma" w:hAnsi="Tahoma" w:cs="Tahoma"/>
      <w:sz w:val="16"/>
      <w:szCs w:val="16"/>
      <w:lang w:eastAsia="en-US"/>
    </w:rPr>
  </w:style>
  <w:style w:type="character" w:styleId="Object" w:customStyle="1">
    <w:name w:val="object"/>
    <w:rsid w:val="004a6f16"/>
    <w:basedOn w:val="DefaultParagraphFont"/>
    <w:rPr/>
  </w:style>
  <w:style w:type="character" w:styleId="HTMLPreformattedChar" w:customStyle="1">
    <w:name w:val="HTML Preformatted Char"/>
    <w:uiPriority w:val="99"/>
    <w:semiHidden/>
    <w:link w:val="HTMLPreformatted"/>
    <w:rsid w:val="003a618d"/>
    <w:basedOn w:val="DefaultParagraphFont"/>
    <w:rPr>
      <w:rFonts w:ascii="Courier New" w:hAnsi="Courier New" w:eastAsia="Times New Roman" w:cs="Courier New"/>
      <w:lang w:val="en-GB" w:eastAsia="en-GB"/>
    </w:rPr>
  </w:style>
  <w:style w:type="character" w:styleId="ListLabel1">
    <w:name w:val="ListLabel 1"/>
    <w:rPr>
      <w:rFonts w:eastAsia="Calibri" w:cs="Times New Roman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Calibri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uiPriority w:val="99"/>
    <w:unhideWhenUsed/>
    <w:link w:val="HeaderChar"/>
    <w:rsid w:val="00250171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uiPriority w:val="99"/>
    <w:unhideWhenUsed/>
    <w:link w:val="FooterChar"/>
    <w:rsid w:val="00250171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yle14" w:customStyle="1">
    <w:name w:val="Style"/>
    <w:rsid w:val="00ee15ca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fr-FR" w:eastAsia="fr-FR" w:bidi="ar-SA"/>
    </w:rPr>
  </w:style>
  <w:style w:type="paragraph" w:styleId="ListParagraph">
    <w:name w:val="List Paragraph"/>
    <w:uiPriority w:val="34"/>
    <w:qFormat/>
    <w:rsid w:val="001e6523"/>
    <w:basedOn w:val="Normal"/>
    <w:pPr>
      <w:ind w:left="720" w:right="0" w:hanging="0"/>
    </w:pPr>
    <w:rPr>
      <w:rFonts w:ascii="Calibri" w:hAnsi="Calibri" w:eastAsia="Calibri"/>
      <w:sz w:val="22"/>
      <w:szCs w:val="22"/>
    </w:rPr>
  </w:style>
  <w:style w:type="paragraph" w:styleId="BalloonText">
    <w:name w:val="Balloon Text"/>
    <w:uiPriority w:val="99"/>
    <w:semiHidden/>
    <w:unhideWhenUsed/>
    <w:link w:val="BalloonTextChar"/>
    <w:rsid w:val="002131b4"/>
    <w:basedOn w:val="Normal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71"/>
    <w:rsid w:val="00d34351"/>
    <w:pPr>
      <w:widowControl/>
      <w:suppressAutoHyphens w:val="true"/>
      <w:bidi w:val="0"/>
      <w:jc w:val="left"/>
    </w:pPr>
    <w:rPr>
      <w:rFonts w:ascii="Cambria" w:hAnsi="Cambria" w:eastAsia="Cambria" w:cs="Times New Roman"/>
      <w:color w:val="auto"/>
      <w:sz w:val="24"/>
      <w:szCs w:val="24"/>
      <w:lang w:eastAsia="en-US" w:val="fr-FR" w:bidi="ar-SA"/>
    </w:rPr>
  </w:style>
  <w:style w:type="paragraph" w:styleId="HTMLPreformatted">
    <w:name w:val="HTML Preformatted"/>
    <w:uiPriority w:val="99"/>
    <w:semiHidden/>
    <w:unhideWhenUsed/>
    <w:link w:val="HTMLPreformattedChar"/>
    <w:rsid w:val="003a618d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0" w:after="0"/>
      <w:jc w:val="left"/>
    </w:pPr>
    <w:rPr>
      <w:rFonts w:ascii="Courier New" w:hAnsi="Courier New" w:eastAsia="Times New Roman" w:cs="Courier New"/>
      <w:sz w:val="20"/>
      <w:szCs w:val="20"/>
      <w:lang w:val="en-GB" w:eastAsia="en-GB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238c9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D079-516F-451D-B515-3C4864BB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LETTRE EuraTechnologies SPL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2018-07-20T16:56:00Z</dcterms:created>
  <dc:creator>alain</dc:creator>
  <dc:language>el-GR</dc:language>
  <cp:lastModifiedBy>Mira</cp:lastModifiedBy>
  <cp:lastPrinted>2012-12-06T15:46:00Z</cp:lastPrinted>
  <dcterms:modified xsi:type="dcterms:W3CDTF">2018-07-20T17:14:00Z</dcterms:modified>
  <cp:revision>4</cp:revision>
</cp:coreProperties>
</file>